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08" w:rsidRPr="00BB6216" w:rsidRDefault="004E3808" w:rsidP="00647727">
      <w:pPr>
        <w:jc w:val="center"/>
        <w:rPr>
          <w:rFonts w:cstheme="minorHAnsi"/>
          <w:b/>
          <w:sz w:val="30"/>
          <w:szCs w:val="30"/>
          <w:lang w:val="cs-CZ"/>
        </w:rPr>
      </w:pPr>
      <w:r w:rsidRPr="00BB6216">
        <w:rPr>
          <w:rFonts w:cstheme="minorHAnsi"/>
          <w:b/>
          <w:sz w:val="30"/>
          <w:szCs w:val="30"/>
          <w:lang w:val="cs-CZ"/>
        </w:rPr>
        <w:t>MODUL 5 STRATEGIE A KONCEPCE</w:t>
      </w:r>
    </w:p>
    <w:p w:rsidR="00647727" w:rsidRDefault="00647727" w:rsidP="00647727">
      <w:pPr>
        <w:jc w:val="center"/>
        <w:rPr>
          <w:color w:val="FF0000"/>
          <w:lang w:val="cs-CZ" w:eastAsia="cs-CZ"/>
        </w:rPr>
      </w:pPr>
      <w:r>
        <w:rPr>
          <w:color w:val="FF0000"/>
          <w:lang w:val="cs-CZ" w:eastAsia="cs-CZ"/>
        </w:rPr>
        <w:t>(NÁVRH PRO POTŘEBU ZASEDÁNÍ ČESKÉ KONFERENCE REKTORŮ)</w:t>
      </w:r>
    </w:p>
    <w:p w:rsidR="00CC6D18" w:rsidRPr="00F40D14" w:rsidRDefault="00CC6D18" w:rsidP="004E3808">
      <w:pPr>
        <w:rPr>
          <w:rFonts w:cstheme="minorHAnsi"/>
          <w:b/>
          <w:lang w:val="cs-CZ"/>
        </w:rPr>
      </w:pPr>
    </w:p>
    <w:p w:rsidR="004E3808" w:rsidRPr="00F40D14" w:rsidRDefault="004E3808" w:rsidP="004E3808">
      <w:pPr>
        <w:rPr>
          <w:rFonts w:cstheme="minorHAnsi"/>
          <w:b/>
          <w:lang w:val="cs-CZ"/>
        </w:rPr>
      </w:pPr>
      <w:r w:rsidRPr="00F40D14">
        <w:rPr>
          <w:rFonts w:cstheme="minorHAnsi"/>
          <w:b/>
          <w:lang w:val="cs-CZ"/>
        </w:rPr>
        <w:t>MISE A VIZE VE VÝZKUMU</w:t>
      </w:r>
    </w:p>
    <w:p w:rsidR="004E3808" w:rsidRPr="00F40D14" w:rsidRDefault="004E3808" w:rsidP="004E3808">
      <w:pPr>
        <w:rPr>
          <w:rFonts w:cstheme="minorHAnsi"/>
          <w:b/>
          <w:lang w:val="cs-CZ"/>
        </w:rPr>
      </w:pPr>
    </w:p>
    <w:p w:rsidR="004E3808" w:rsidRPr="0033631F" w:rsidRDefault="00BB6216" w:rsidP="0033631F">
      <w:pPr>
        <w:jc w:val="both"/>
        <w:rPr>
          <w:rFonts w:cstheme="minorHAnsi"/>
          <w:lang w:val="cs-CZ"/>
        </w:rPr>
      </w:pPr>
      <w:r w:rsidRPr="0033631F">
        <w:rPr>
          <w:rFonts w:cstheme="minorHAnsi"/>
          <w:lang w:val="cs-CZ"/>
        </w:rPr>
        <w:t>5.1 Mise</w:t>
      </w:r>
      <w:r w:rsidR="004E3808" w:rsidRPr="0033631F">
        <w:rPr>
          <w:rFonts w:cstheme="minorHAnsi"/>
          <w:lang w:val="cs-CZ"/>
        </w:rPr>
        <w:t xml:space="preserve"> a vize hodnocené instituce ve výzkumu </w:t>
      </w:r>
    </w:p>
    <w:p w:rsidR="00F40D14" w:rsidRPr="00F40D14" w:rsidRDefault="00F40D14" w:rsidP="00F40D14">
      <w:pPr>
        <w:jc w:val="both"/>
        <w:rPr>
          <w:rFonts w:cstheme="minorHAnsi"/>
          <w:b/>
          <w:lang w:val="cs-CZ"/>
        </w:rPr>
      </w:pPr>
    </w:p>
    <w:p w:rsidR="004E3808" w:rsidRPr="00F40D14" w:rsidRDefault="004E3808" w:rsidP="00F40D14">
      <w:pPr>
        <w:jc w:val="both"/>
        <w:rPr>
          <w:rFonts w:cstheme="minorHAnsi"/>
          <w:b/>
          <w:lang w:val="cs-CZ"/>
        </w:rPr>
      </w:pPr>
      <w:r w:rsidRPr="00F40D14">
        <w:rPr>
          <w:rFonts w:cstheme="minorHAnsi"/>
          <w:b/>
          <w:lang w:val="cs-CZ"/>
        </w:rPr>
        <w:t>CÍLE A STRATEGIE VÝZKUMU</w:t>
      </w:r>
    </w:p>
    <w:p w:rsidR="004E3808" w:rsidRPr="00F40D14" w:rsidRDefault="004E3808" w:rsidP="00F40D14">
      <w:pPr>
        <w:jc w:val="both"/>
        <w:rPr>
          <w:rFonts w:cstheme="minorHAnsi"/>
          <w:b/>
          <w:lang w:val="cs-CZ"/>
        </w:rPr>
      </w:pPr>
    </w:p>
    <w:p w:rsidR="004E3808" w:rsidRPr="0033631F" w:rsidRDefault="00BB6216" w:rsidP="0033631F">
      <w:pPr>
        <w:jc w:val="both"/>
        <w:rPr>
          <w:rFonts w:cstheme="minorHAnsi"/>
          <w:lang w:val="cs-CZ"/>
        </w:rPr>
      </w:pPr>
      <w:r w:rsidRPr="0033631F">
        <w:rPr>
          <w:rFonts w:cstheme="minorHAnsi"/>
          <w:lang w:val="cs-CZ"/>
        </w:rPr>
        <w:t>5.2 Výzkumné</w:t>
      </w:r>
      <w:r w:rsidR="004E3808" w:rsidRPr="0033631F">
        <w:rPr>
          <w:rFonts w:cstheme="minorHAnsi"/>
          <w:lang w:val="cs-CZ"/>
        </w:rPr>
        <w:t xml:space="preserve"> cíle a strategie pro období do dalšího hodnocení</w:t>
      </w:r>
    </w:p>
    <w:p w:rsidR="00F40D14" w:rsidRPr="00F40D14" w:rsidRDefault="00F40D14" w:rsidP="00F40D14">
      <w:pPr>
        <w:jc w:val="both"/>
        <w:rPr>
          <w:rFonts w:cstheme="minorHAnsi"/>
          <w:i/>
          <w:lang w:val="cs-CZ"/>
        </w:rPr>
      </w:pPr>
    </w:p>
    <w:p w:rsidR="004E3808" w:rsidRPr="00F40D14" w:rsidRDefault="004E3808" w:rsidP="00F40D14">
      <w:pPr>
        <w:jc w:val="both"/>
        <w:rPr>
          <w:rFonts w:cstheme="minorHAnsi"/>
          <w:b/>
          <w:lang w:val="cs-CZ"/>
        </w:rPr>
      </w:pPr>
      <w:r w:rsidRPr="00F40D14">
        <w:rPr>
          <w:rFonts w:cstheme="minorHAnsi"/>
          <w:b/>
          <w:lang w:val="cs-CZ"/>
        </w:rPr>
        <w:t>NÁRODNÍ A MEZINÁRODNÍ KONTEXT VÝZKUMU</w:t>
      </w:r>
    </w:p>
    <w:p w:rsidR="004E3808" w:rsidRPr="00F40D14" w:rsidRDefault="004E3808" w:rsidP="00F40D14">
      <w:pPr>
        <w:jc w:val="both"/>
        <w:rPr>
          <w:rFonts w:cstheme="minorHAnsi"/>
          <w:b/>
          <w:lang w:val="cs-CZ"/>
        </w:rPr>
      </w:pPr>
    </w:p>
    <w:p w:rsidR="004E3808" w:rsidRPr="0033631F" w:rsidRDefault="00BB6216" w:rsidP="00F40D14">
      <w:pPr>
        <w:jc w:val="both"/>
        <w:rPr>
          <w:rFonts w:cstheme="minorHAnsi"/>
          <w:lang w:val="cs-CZ"/>
        </w:rPr>
      </w:pPr>
      <w:r w:rsidRPr="0033631F">
        <w:rPr>
          <w:rFonts w:cstheme="minorHAnsi"/>
          <w:lang w:val="cs-CZ"/>
        </w:rPr>
        <w:t>5.3 Vazba</w:t>
      </w:r>
      <w:r w:rsidR="004E3808" w:rsidRPr="0033631F">
        <w:rPr>
          <w:rFonts w:cstheme="minorHAnsi"/>
          <w:lang w:val="cs-CZ"/>
        </w:rPr>
        <w:t xml:space="preserve"> na plnění vyšších národních a nadnárodních strategických cílů a opatření v oblasti výzkumu</w:t>
      </w:r>
    </w:p>
    <w:p w:rsidR="00F40D14" w:rsidRDefault="00F40D14" w:rsidP="00F40D14">
      <w:pPr>
        <w:jc w:val="both"/>
        <w:rPr>
          <w:rFonts w:cstheme="minorHAnsi"/>
          <w:b/>
          <w:lang w:val="cs-CZ"/>
        </w:rPr>
      </w:pPr>
    </w:p>
    <w:p w:rsidR="00FA0321" w:rsidRPr="00FA0321" w:rsidRDefault="00FA0321" w:rsidP="00FA0321">
      <w:pPr>
        <w:jc w:val="both"/>
        <w:rPr>
          <w:rFonts w:cstheme="minorHAnsi"/>
          <w:lang w:val="cs-CZ"/>
        </w:rPr>
      </w:pPr>
      <w:r>
        <w:rPr>
          <w:rFonts w:cstheme="minorHAnsi"/>
          <w:lang w:val="cs-CZ"/>
        </w:rPr>
        <w:t xml:space="preserve">5.4 </w:t>
      </w:r>
      <w:r w:rsidRPr="00FA0321">
        <w:rPr>
          <w:rFonts w:cstheme="minorHAnsi"/>
          <w:lang w:val="cs-CZ"/>
        </w:rPr>
        <w:t>Strategie a nástroje strategického řízení pro zahrnutí do mezinárodních žebříčků univerzit (včetně oborových žebříčků) potvrzujících dlouhodobou reputaci univerzity, popř</w:t>
      </w:r>
      <w:r w:rsidR="0013481C">
        <w:rPr>
          <w:rFonts w:cstheme="minorHAnsi"/>
          <w:lang w:val="cs-CZ"/>
        </w:rPr>
        <w:t>. pro dosažení lepšího umístění</w:t>
      </w:r>
    </w:p>
    <w:p w:rsidR="00CC6D18" w:rsidRDefault="00CC6D18" w:rsidP="00F40D14">
      <w:pPr>
        <w:jc w:val="both"/>
        <w:rPr>
          <w:rFonts w:cstheme="minorHAnsi"/>
          <w:i/>
          <w:color w:val="7030A0"/>
          <w:lang w:val="cs-CZ"/>
        </w:rPr>
      </w:pPr>
    </w:p>
    <w:p w:rsidR="004E3808" w:rsidRPr="00F40D14" w:rsidRDefault="004E3808" w:rsidP="00F40D14">
      <w:pPr>
        <w:jc w:val="both"/>
        <w:rPr>
          <w:rFonts w:cstheme="minorHAnsi"/>
          <w:b/>
          <w:lang w:val="cs-CZ"/>
        </w:rPr>
      </w:pPr>
      <w:r w:rsidRPr="00F40D14">
        <w:rPr>
          <w:rFonts w:cstheme="minorHAnsi"/>
          <w:b/>
          <w:lang w:val="cs-CZ"/>
        </w:rPr>
        <w:t>NÁSTROJE PRO NAPLŇOVÁNÍ VÝZKUMNÉ STRATEGIE</w:t>
      </w:r>
    </w:p>
    <w:p w:rsidR="004E3808" w:rsidRPr="00F40D14" w:rsidRDefault="004E3808" w:rsidP="00F40D14">
      <w:pPr>
        <w:jc w:val="both"/>
        <w:rPr>
          <w:rFonts w:cstheme="minorHAnsi"/>
          <w:b/>
          <w:lang w:val="cs-CZ"/>
        </w:rPr>
      </w:pPr>
    </w:p>
    <w:p w:rsidR="004E3808" w:rsidRPr="0033631F" w:rsidRDefault="00540930" w:rsidP="00F40D14">
      <w:pPr>
        <w:jc w:val="both"/>
        <w:rPr>
          <w:rFonts w:cstheme="minorHAnsi"/>
          <w:lang w:val="cs-CZ"/>
        </w:rPr>
      </w:pPr>
      <w:r w:rsidRPr="0033631F">
        <w:rPr>
          <w:rFonts w:cstheme="minorHAnsi"/>
          <w:lang w:val="cs-CZ"/>
        </w:rPr>
        <w:t>5.5</w:t>
      </w:r>
      <w:r w:rsidR="004E3808" w:rsidRPr="0033631F">
        <w:rPr>
          <w:rFonts w:cstheme="minorHAnsi"/>
          <w:lang w:val="cs-CZ"/>
        </w:rPr>
        <w:t xml:space="preserve"> Institucionální nástroje pro naplňování </w:t>
      </w:r>
      <w:r w:rsidR="000D64C9" w:rsidRPr="0033631F">
        <w:rPr>
          <w:rFonts w:cstheme="minorHAnsi"/>
          <w:lang w:val="cs-CZ"/>
        </w:rPr>
        <w:t>výzkumné strategie s důrazem na </w:t>
      </w:r>
      <w:r w:rsidR="004E3808" w:rsidRPr="0033631F">
        <w:rPr>
          <w:rFonts w:cstheme="minorHAnsi"/>
          <w:lang w:val="cs-CZ"/>
        </w:rPr>
        <w:t>podporu kvalitního výzkumu a inovativního prostředí</w:t>
      </w:r>
    </w:p>
    <w:p w:rsidR="008B1AD4" w:rsidRDefault="008B1AD4" w:rsidP="00F40D14">
      <w:pPr>
        <w:jc w:val="both"/>
        <w:rPr>
          <w:rFonts w:cstheme="minorHAnsi"/>
          <w:lang w:val="cs-CZ"/>
        </w:rPr>
      </w:pPr>
    </w:p>
    <w:p w:rsidR="008B1AD4" w:rsidRDefault="008B1AD4" w:rsidP="00F40D14">
      <w:pPr>
        <w:jc w:val="both"/>
        <w:rPr>
          <w:rFonts w:cstheme="minorHAnsi"/>
          <w:b/>
          <w:lang w:val="cs-CZ"/>
        </w:rPr>
      </w:pPr>
    </w:p>
    <w:p w:rsidR="00AB797D" w:rsidRDefault="00AB797D" w:rsidP="004E3D1D">
      <w:pPr>
        <w:jc w:val="both"/>
        <w:rPr>
          <w:rFonts w:cstheme="minorHAnsi"/>
          <w:b/>
          <w:u w:val="single"/>
          <w:lang w:val="cs-CZ"/>
        </w:rPr>
      </w:pPr>
    </w:p>
    <w:p w:rsidR="00AB797D" w:rsidRDefault="00AB797D" w:rsidP="004E3D1D">
      <w:pPr>
        <w:jc w:val="both"/>
        <w:rPr>
          <w:rFonts w:cstheme="minorHAnsi"/>
          <w:b/>
          <w:u w:val="single"/>
          <w:lang w:val="cs-CZ"/>
        </w:rPr>
      </w:pPr>
    </w:p>
    <w:p w:rsidR="00475807" w:rsidRDefault="00475807" w:rsidP="004E3D1D">
      <w:pPr>
        <w:jc w:val="both"/>
        <w:rPr>
          <w:lang w:val="cs-CZ"/>
        </w:rPr>
      </w:pPr>
    </w:p>
    <w:p w:rsidR="00553639" w:rsidRDefault="00553639" w:rsidP="004E3D1D">
      <w:pPr>
        <w:jc w:val="both"/>
        <w:rPr>
          <w:color w:val="FF0000"/>
          <w:lang w:val="cs-CZ"/>
        </w:rPr>
      </w:pPr>
    </w:p>
    <w:p w:rsidR="0091789B" w:rsidRPr="0091789B" w:rsidRDefault="0091789B" w:rsidP="004E3D1D">
      <w:pPr>
        <w:jc w:val="both"/>
        <w:rPr>
          <w:color w:val="FF0000"/>
          <w:lang w:val="cs-CZ"/>
        </w:rPr>
      </w:pPr>
    </w:p>
    <w:p w:rsidR="00AC6AA2" w:rsidRDefault="00AC6AA2" w:rsidP="004E3D1D">
      <w:pPr>
        <w:jc w:val="both"/>
        <w:rPr>
          <w:color w:val="FF0000"/>
          <w:lang w:val="cs-CZ"/>
        </w:rPr>
      </w:pPr>
    </w:p>
    <w:p w:rsidR="00AB797D" w:rsidRDefault="00AB797D" w:rsidP="004E3D1D">
      <w:pPr>
        <w:jc w:val="both"/>
        <w:rPr>
          <w:rFonts w:cstheme="minorHAnsi"/>
          <w:b/>
          <w:u w:val="single"/>
          <w:lang w:val="cs-CZ"/>
        </w:rPr>
      </w:pPr>
    </w:p>
    <w:p w:rsidR="00F34E28" w:rsidRDefault="00F34E28">
      <w:pPr>
        <w:spacing w:after="160" w:line="259" w:lineRule="auto"/>
        <w:rPr>
          <w:rFonts w:cstheme="minorHAnsi"/>
          <w:b/>
          <w:u w:val="single"/>
          <w:lang w:val="cs-CZ"/>
        </w:rPr>
      </w:pPr>
      <w:r>
        <w:rPr>
          <w:rFonts w:cstheme="minorHAnsi"/>
          <w:b/>
          <w:u w:val="single"/>
          <w:lang w:val="cs-CZ"/>
        </w:rPr>
        <w:br w:type="page"/>
      </w:r>
    </w:p>
    <w:p w:rsidR="004E3D1D" w:rsidRPr="00CD2912" w:rsidRDefault="00AB797D" w:rsidP="00CD2912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cstheme="minorHAnsi"/>
          <w:b/>
          <w:lang w:val="cs-CZ"/>
        </w:rPr>
      </w:pPr>
      <w:r w:rsidRPr="00CD2912">
        <w:rPr>
          <w:rFonts w:cstheme="minorHAnsi"/>
          <w:b/>
          <w:lang w:val="cs-CZ"/>
        </w:rPr>
        <w:lastRenderedPageBreak/>
        <w:t>P</w:t>
      </w:r>
      <w:r w:rsidR="00CD2912" w:rsidRPr="00CD2912">
        <w:rPr>
          <w:rFonts w:cstheme="minorHAnsi"/>
          <w:b/>
          <w:lang w:val="cs-CZ"/>
        </w:rPr>
        <w:t>ŘÍLOH</w:t>
      </w:r>
      <w:r w:rsidR="0033631F">
        <w:rPr>
          <w:rFonts w:cstheme="minorHAnsi"/>
          <w:b/>
          <w:lang w:val="cs-CZ"/>
        </w:rPr>
        <w:t>Y</w:t>
      </w:r>
      <w:r w:rsidR="004E3D1D" w:rsidRPr="00CD2912">
        <w:rPr>
          <w:rFonts w:cstheme="minorHAnsi"/>
          <w:b/>
          <w:lang w:val="cs-CZ"/>
        </w:rPr>
        <w:t xml:space="preserve"> </w:t>
      </w:r>
    </w:p>
    <w:p w:rsidR="00AB797D" w:rsidRDefault="00AB797D" w:rsidP="004E3D1D">
      <w:pPr>
        <w:jc w:val="both"/>
        <w:rPr>
          <w:rFonts w:cstheme="minorHAnsi"/>
          <w:b/>
          <w:lang w:val="cs-CZ"/>
        </w:rPr>
      </w:pPr>
    </w:p>
    <w:p w:rsidR="0090625C" w:rsidRPr="004E3D1D" w:rsidRDefault="0033631F" w:rsidP="0090625C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cstheme="minorHAnsi"/>
          <w:b/>
          <w:lang w:val="cs-CZ"/>
        </w:rPr>
      </w:pPr>
      <w:r>
        <w:rPr>
          <w:rFonts w:cstheme="minorHAnsi"/>
          <w:b/>
          <w:lang w:val="cs-CZ"/>
        </w:rPr>
        <w:t xml:space="preserve">1. </w:t>
      </w:r>
      <w:r w:rsidR="0090625C" w:rsidRPr="004E3D1D">
        <w:rPr>
          <w:rFonts w:cstheme="minorHAnsi"/>
          <w:b/>
          <w:lang w:val="cs-CZ"/>
        </w:rPr>
        <w:t xml:space="preserve">SWOT </w:t>
      </w:r>
      <w:r w:rsidR="00BB6216">
        <w:rPr>
          <w:rFonts w:cstheme="minorHAnsi"/>
          <w:b/>
          <w:lang w:val="cs-CZ"/>
        </w:rPr>
        <w:t>analýza</w:t>
      </w:r>
    </w:p>
    <w:p w:rsidR="0090625C" w:rsidRPr="00F34E28" w:rsidRDefault="0090625C" w:rsidP="0090625C">
      <w:pPr>
        <w:pStyle w:val="Normlnweb"/>
        <w:spacing w:before="0" w:beforeAutospacing="0" w:after="0" w:afterAutospacing="0" w:line="240" w:lineRule="atLeast"/>
        <w:jc w:val="both"/>
        <w:rPr>
          <w:rFonts w:asciiTheme="minorHAnsi" w:eastAsia="OpenSymbol" w:hAnsiTheme="minorHAnsi" w:cstheme="minorHAnsi"/>
          <w:kern w:val="1"/>
          <w:sz w:val="22"/>
          <w:szCs w:val="22"/>
          <w:lang w:eastAsia="en-US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902"/>
        <w:gridCol w:w="3927"/>
        <w:gridCol w:w="4238"/>
      </w:tblGrid>
      <w:tr w:rsidR="00AB797D" w:rsidRPr="00F34E28" w:rsidTr="00CD2912">
        <w:trPr>
          <w:trHeight w:val="68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lang w:val="cs-CZ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lang w:val="cs-CZ"/>
              </w:rPr>
            </w:pP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lang w:val="cs-CZ"/>
              </w:rPr>
            </w:pPr>
            <w:r w:rsidRPr="00F34E28">
              <w:rPr>
                <w:rFonts w:eastAsia="OpenSymbol" w:cstheme="minorHAnsi"/>
                <w:b/>
                <w:lang w:val="cs-CZ"/>
              </w:rPr>
              <w:t>Pozitivní faktory</w:t>
            </w: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lang w:val="cs-CZ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lang w:val="cs-CZ"/>
              </w:rPr>
            </w:pP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lang w:val="cs-CZ"/>
              </w:rPr>
            </w:pPr>
            <w:r w:rsidRPr="00F34E28">
              <w:rPr>
                <w:rFonts w:eastAsia="OpenSymbol" w:cstheme="minorHAnsi"/>
                <w:b/>
                <w:lang w:val="cs-CZ"/>
              </w:rPr>
              <w:t>Negativní faktory</w:t>
            </w: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lang w:val="cs-CZ"/>
              </w:rPr>
            </w:pPr>
          </w:p>
        </w:tc>
      </w:tr>
      <w:tr w:rsidR="00AB797D" w:rsidRPr="00F34E28" w:rsidTr="00F34E28"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lang w:val="cs-CZ"/>
              </w:rPr>
            </w:pP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lang w:val="cs-CZ"/>
              </w:rPr>
            </w:pP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lang w:val="cs-CZ"/>
              </w:rPr>
            </w:pPr>
            <w:r w:rsidRPr="00F34E28">
              <w:rPr>
                <w:rFonts w:eastAsia="OpenSymbol" w:cstheme="minorHAnsi"/>
                <w:b/>
                <w:i/>
                <w:lang w:val="cs-CZ"/>
              </w:rPr>
              <w:t xml:space="preserve">  </w:t>
            </w: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lang w:val="cs-CZ"/>
              </w:rPr>
            </w:pP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lang w:val="cs-CZ"/>
              </w:rPr>
            </w:pPr>
            <w:r w:rsidRPr="00F34E28">
              <w:rPr>
                <w:rFonts w:eastAsia="OpenSymbol" w:cstheme="minorHAnsi"/>
                <w:b/>
                <w:lang w:val="cs-CZ"/>
              </w:rPr>
              <w:t>Vnitřní vlivy</w:t>
            </w: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lang w:val="cs-CZ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lang w:val="cs-CZ"/>
              </w:rPr>
            </w:pPr>
            <w:r w:rsidRPr="00F34E28">
              <w:rPr>
                <w:rFonts w:eastAsia="OpenSymbol" w:cstheme="minorHAnsi"/>
                <w:b/>
                <w:lang w:val="cs-CZ"/>
              </w:rPr>
              <w:t>Silné stránky VO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lang w:val="cs-CZ"/>
              </w:rPr>
            </w:pPr>
            <w:r w:rsidRPr="00F34E28">
              <w:rPr>
                <w:rFonts w:eastAsia="OpenSymbol" w:cstheme="minorHAnsi"/>
                <w:b/>
                <w:lang w:val="cs-CZ"/>
              </w:rPr>
              <w:t>Slabé stránky VO</w:t>
            </w:r>
          </w:p>
        </w:tc>
      </w:tr>
      <w:tr w:rsidR="00AB797D" w:rsidRPr="00F34E28" w:rsidTr="00E642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25C" w:rsidRPr="00F34E28" w:rsidRDefault="0090625C" w:rsidP="00E642FD">
            <w:pPr>
              <w:spacing w:line="240" w:lineRule="atLeast"/>
              <w:jc w:val="both"/>
              <w:rPr>
                <w:rFonts w:eastAsia="OpenSymbol" w:cstheme="minorHAnsi"/>
                <w:b/>
                <w:lang w:val="cs-CZ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i/>
                <w:sz w:val="22"/>
                <w:szCs w:val="22"/>
                <w:lang w:val="cs-CZ"/>
              </w:rPr>
            </w:pP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2"/>
                <w:szCs w:val="22"/>
                <w:lang w:val="cs-CZ"/>
              </w:rPr>
            </w:pPr>
            <w:r w:rsidRPr="00F34E28">
              <w:rPr>
                <w:rFonts w:eastAsia="OpenSymbol" w:cstheme="minorHAnsi"/>
                <w:sz w:val="22"/>
                <w:szCs w:val="22"/>
                <w:lang w:val="cs-CZ"/>
              </w:rPr>
              <w:t>VŠ heslovitě uvede ty své stránky, které považuje za nejlepší v rámci dané oblasti hodnocení. Jedná o aktivity a činnosti, které jsou zcela v jejím vlivu. Příklady:</w:t>
            </w: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2"/>
                <w:szCs w:val="22"/>
                <w:lang w:val="cs-CZ"/>
              </w:rPr>
            </w:pPr>
            <w:r w:rsidRPr="00F34E28">
              <w:rPr>
                <w:rFonts w:eastAsia="OpenSymbol" w:cstheme="minorHAnsi"/>
                <w:sz w:val="22"/>
                <w:szCs w:val="22"/>
                <w:lang w:val="cs-CZ"/>
              </w:rPr>
              <w:t xml:space="preserve">1. </w:t>
            </w:r>
            <w:r w:rsidR="00CD2912">
              <w:rPr>
                <w:rFonts w:eastAsia="OpenSymbol" w:cstheme="minorHAnsi"/>
                <w:sz w:val="22"/>
                <w:szCs w:val="22"/>
                <w:lang w:val="cs-CZ"/>
              </w:rPr>
              <w:t xml:space="preserve">  </w:t>
            </w:r>
            <w:r w:rsidRPr="00F34E28">
              <w:rPr>
                <w:rFonts w:eastAsia="OpenSymbol" w:cstheme="minorHAnsi"/>
                <w:sz w:val="22"/>
                <w:szCs w:val="22"/>
                <w:lang w:val="cs-CZ"/>
              </w:rPr>
              <w:t>Stabilní a vysoce kvalifikované vědecké týmy</w:t>
            </w: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i/>
                <w:sz w:val="22"/>
                <w:szCs w:val="22"/>
                <w:lang w:val="cs-CZ"/>
              </w:rPr>
            </w:pPr>
            <w:r w:rsidRPr="00F34E28">
              <w:rPr>
                <w:rFonts w:eastAsia="OpenSymbol" w:cstheme="minorHAnsi"/>
                <w:sz w:val="22"/>
                <w:szCs w:val="22"/>
                <w:lang w:val="cs-CZ"/>
              </w:rPr>
              <w:t xml:space="preserve">2. </w:t>
            </w:r>
            <w:r w:rsidR="00CD2912">
              <w:rPr>
                <w:rFonts w:eastAsia="OpenSymbol" w:cstheme="minorHAnsi"/>
                <w:sz w:val="22"/>
                <w:szCs w:val="22"/>
                <w:lang w:val="cs-CZ"/>
              </w:rPr>
              <w:t xml:space="preserve">  </w:t>
            </w:r>
            <w:r w:rsidRPr="00F34E28">
              <w:rPr>
                <w:rFonts w:eastAsia="OpenSymbol" w:cstheme="minorHAnsi"/>
                <w:sz w:val="22"/>
                <w:szCs w:val="22"/>
                <w:lang w:val="cs-CZ"/>
              </w:rPr>
              <w:t>Unikátní laboratorní vybavení v oboru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i/>
                <w:sz w:val="22"/>
                <w:szCs w:val="22"/>
                <w:lang w:val="cs-CZ"/>
              </w:rPr>
            </w:pP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2"/>
                <w:szCs w:val="22"/>
                <w:lang w:val="cs-CZ"/>
              </w:rPr>
            </w:pPr>
            <w:r w:rsidRPr="00F34E28">
              <w:rPr>
                <w:rFonts w:eastAsia="OpenSymbol" w:cstheme="minorHAnsi"/>
                <w:sz w:val="22"/>
                <w:szCs w:val="22"/>
                <w:lang w:val="cs-CZ"/>
              </w:rPr>
              <w:t>VŠ heslovitě uvede ty své oblasti, které považuje za nejméně rozvinuté a kvalitní v rámc</w:t>
            </w:r>
            <w:r w:rsidR="0033631F">
              <w:rPr>
                <w:rFonts w:eastAsia="OpenSymbol" w:cstheme="minorHAnsi"/>
                <w:sz w:val="22"/>
                <w:szCs w:val="22"/>
                <w:lang w:val="cs-CZ"/>
              </w:rPr>
              <w:t xml:space="preserve">i dané oblasti hodnocení. Jedná </w:t>
            </w:r>
            <w:r w:rsidRPr="00F34E28">
              <w:rPr>
                <w:rFonts w:eastAsia="OpenSymbol" w:cstheme="minorHAnsi"/>
                <w:sz w:val="22"/>
                <w:szCs w:val="22"/>
                <w:lang w:val="cs-CZ"/>
              </w:rPr>
              <w:t>o aktivity a činnosti, které jsou zcela v jejím vlivu a jejich zlepšení předpokládá zvýšené úsilí o zlepšení ze strany VO. Příklady:</w:t>
            </w:r>
          </w:p>
          <w:p w:rsidR="0090625C" w:rsidRPr="00F34E28" w:rsidRDefault="00F34E28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2"/>
                <w:szCs w:val="22"/>
                <w:lang w:val="cs-CZ"/>
              </w:rPr>
            </w:pPr>
            <w:r>
              <w:rPr>
                <w:rFonts w:eastAsia="OpenSymbol" w:cstheme="minorHAnsi"/>
                <w:sz w:val="22"/>
                <w:szCs w:val="22"/>
                <w:lang w:val="cs-CZ"/>
              </w:rPr>
              <w:t xml:space="preserve">1.    </w:t>
            </w:r>
            <w:r w:rsidR="0090625C" w:rsidRPr="00F34E28">
              <w:rPr>
                <w:rFonts w:eastAsia="OpenSymbol" w:cstheme="minorHAnsi"/>
                <w:sz w:val="22"/>
                <w:szCs w:val="22"/>
                <w:lang w:val="cs-CZ"/>
              </w:rPr>
              <w:t>Chybějící laboratorní vybavení xy</w:t>
            </w:r>
          </w:p>
          <w:p w:rsidR="0090625C" w:rsidRDefault="00F34E28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2"/>
                <w:szCs w:val="22"/>
                <w:lang w:val="cs-CZ"/>
              </w:rPr>
            </w:pPr>
            <w:r>
              <w:rPr>
                <w:rFonts w:eastAsia="OpenSymbol" w:cstheme="minorHAnsi"/>
                <w:sz w:val="22"/>
                <w:szCs w:val="22"/>
                <w:lang w:val="cs-CZ"/>
              </w:rPr>
              <w:t xml:space="preserve">2. </w:t>
            </w:r>
            <w:r w:rsidR="0090625C" w:rsidRPr="00F34E28">
              <w:rPr>
                <w:rFonts w:eastAsia="OpenSymbol" w:cstheme="minorHAnsi"/>
                <w:sz w:val="22"/>
                <w:szCs w:val="22"/>
                <w:lang w:val="cs-CZ"/>
              </w:rPr>
              <w:t>Nedostatečné administrativní zázemí pro vědecké pracovníky</w:t>
            </w:r>
          </w:p>
          <w:p w:rsidR="00F34E28" w:rsidRPr="00F34E28" w:rsidRDefault="00F34E28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i/>
                <w:sz w:val="22"/>
                <w:szCs w:val="22"/>
                <w:lang w:val="cs-CZ"/>
              </w:rPr>
            </w:pPr>
          </w:p>
        </w:tc>
      </w:tr>
      <w:tr w:rsidR="00AB797D" w:rsidRPr="00F34E28" w:rsidTr="00F34E28"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lang w:val="cs-CZ"/>
              </w:rPr>
            </w:pP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lang w:val="cs-CZ"/>
              </w:rPr>
            </w:pP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lang w:val="cs-CZ"/>
              </w:rPr>
            </w:pP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i/>
                <w:lang w:val="cs-CZ"/>
              </w:rPr>
            </w:pPr>
            <w:r w:rsidRPr="00F34E28">
              <w:rPr>
                <w:rFonts w:eastAsia="OpenSymbol" w:cstheme="minorHAnsi"/>
                <w:b/>
                <w:lang w:val="cs-CZ"/>
              </w:rPr>
              <w:t>Vnější vlivy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lang w:val="cs-CZ"/>
              </w:rPr>
            </w:pPr>
            <w:r w:rsidRPr="00F34E28">
              <w:rPr>
                <w:rFonts w:eastAsia="OpenSymbol" w:cstheme="minorHAnsi"/>
                <w:b/>
                <w:lang w:val="cs-CZ"/>
              </w:rPr>
              <w:t>Příležitosti pro VO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b/>
                <w:lang w:val="cs-CZ"/>
              </w:rPr>
            </w:pPr>
            <w:r w:rsidRPr="00F34E28">
              <w:rPr>
                <w:rFonts w:eastAsia="OpenSymbol" w:cstheme="minorHAnsi"/>
                <w:b/>
                <w:lang w:val="cs-CZ"/>
              </w:rPr>
              <w:t>Ohrožení VO</w:t>
            </w:r>
          </w:p>
        </w:tc>
      </w:tr>
      <w:tr w:rsidR="00AB797D" w:rsidRPr="00F34E28" w:rsidTr="00E642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25C" w:rsidRPr="00F34E28" w:rsidRDefault="0090625C" w:rsidP="00E642FD">
            <w:pPr>
              <w:spacing w:line="240" w:lineRule="atLeast"/>
              <w:jc w:val="both"/>
              <w:rPr>
                <w:rFonts w:eastAsia="OpenSymbol" w:cstheme="minorHAnsi"/>
                <w:b/>
                <w:i/>
                <w:lang w:val="cs-CZ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2"/>
                <w:szCs w:val="22"/>
                <w:lang w:val="cs-CZ"/>
              </w:rPr>
            </w:pP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2"/>
                <w:szCs w:val="22"/>
                <w:lang w:val="cs-CZ"/>
              </w:rPr>
            </w:pPr>
            <w:r w:rsidRPr="00F34E28">
              <w:rPr>
                <w:rFonts w:eastAsia="OpenSymbol" w:cstheme="minorHAnsi"/>
                <w:sz w:val="22"/>
                <w:szCs w:val="22"/>
                <w:lang w:val="cs-CZ"/>
              </w:rPr>
              <w:t>VŠ uvede heslovitě možnosti a zdroje, které může využít ve svůj prospěch, ale nemůže je nijak ovlivnit.</w:t>
            </w: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2"/>
                <w:szCs w:val="22"/>
                <w:lang w:val="cs-CZ"/>
              </w:rPr>
            </w:pPr>
            <w:r w:rsidRPr="00F34E28">
              <w:rPr>
                <w:rFonts w:eastAsia="OpenSymbol" w:cstheme="minorHAnsi"/>
                <w:sz w:val="22"/>
                <w:szCs w:val="22"/>
                <w:lang w:val="cs-CZ"/>
              </w:rPr>
              <w:t xml:space="preserve">Např. využití programů vyhlašovaných jednotlivými poskytovateli </w:t>
            </w: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2"/>
                <w:szCs w:val="22"/>
                <w:lang w:val="cs-CZ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2"/>
                <w:szCs w:val="22"/>
                <w:lang w:val="cs-CZ"/>
              </w:rPr>
            </w:pP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2"/>
                <w:szCs w:val="22"/>
                <w:lang w:val="cs-CZ"/>
              </w:rPr>
            </w:pPr>
            <w:r w:rsidRPr="00F34E28">
              <w:rPr>
                <w:rFonts w:eastAsia="OpenSymbol" w:cstheme="minorHAnsi"/>
                <w:sz w:val="22"/>
                <w:szCs w:val="22"/>
                <w:lang w:val="cs-CZ"/>
              </w:rPr>
              <w:t>VŠ heslovitě uvede situace a stavy vně VO, které nemůže nijak ovlivnit, ale které mohou ohrozit její stabilitu, rozvoj a plánované cíle. Zpravidla jsou v institucích řešeny formou identifikace rizik a jejich řízení.</w:t>
            </w: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sz w:val="22"/>
                <w:szCs w:val="22"/>
                <w:lang w:val="cs-CZ"/>
              </w:rPr>
            </w:pPr>
            <w:r w:rsidRPr="00F34E28">
              <w:rPr>
                <w:rFonts w:eastAsia="OpenSymbol" w:cstheme="minorHAnsi"/>
                <w:sz w:val="22"/>
                <w:szCs w:val="22"/>
                <w:lang w:val="cs-CZ"/>
              </w:rPr>
              <w:t>Např. omezení výdajů na výzkum a vývoj ze státního rozpočtu ČR</w:t>
            </w:r>
          </w:p>
          <w:p w:rsidR="0090625C" w:rsidRPr="00F34E28" w:rsidRDefault="0090625C" w:rsidP="00E642F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OpenSymbol" w:cstheme="minorHAnsi"/>
                <w:i/>
                <w:sz w:val="22"/>
                <w:szCs w:val="22"/>
                <w:lang w:val="cs-CZ"/>
              </w:rPr>
            </w:pPr>
          </w:p>
        </w:tc>
      </w:tr>
    </w:tbl>
    <w:p w:rsidR="00F34E28" w:rsidRDefault="00F34E28" w:rsidP="0090625C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eastAsia="OpenSymbol" w:cstheme="minorHAnsi"/>
          <w:i/>
          <w:lang w:val="cs-CZ"/>
        </w:rPr>
      </w:pPr>
    </w:p>
    <w:p w:rsidR="0090625C" w:rsidRPr="00AB797D" w:rsidRDefault="0090625C" w:rsidP="0090625C">
      <w:pPr>
        <w:pStyle w:val="Normlnweb"/>
        <w:spacing w:before="0" w:beforeAutospacing="0" w:after="0" w:afterAutospacing="0" w:line="240" w:lineRule="atLeast"/>
        <w:contextualSpacing/>
        <w:jc w:val="both"/>
        <w:rPr>
          <w:sz w:val="22"/>
          <w:szCs w:val="22"/>
        </w:rPr>
      </w:pPr>
    </w:p>
    <w:p w:rsidR="0033631F" w:rsidRDefault="0033631F" w:rsidP="0033631F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cstheme="minorHAnsi"/>
          <w:b/>
          <w:lang w:val="cs-CZ"/>
        </w:rPr>
      </w:pPr>
      <w:r>
        <w:rPr>
          <w:rFonts w:cstheme="minorHAnsi"/>
          <w:b/>
          <w:lang w:val="cs-CZ"/>
        </w:rPr>
        <w:t>2. Dlouhodobý záměr</w:t>
      </w:r>
    </w:p>
    <w:p w:rsidR="0033631F" w:rsidRPr="004E3D1D" w:rsidRDefault="0033631F" w:rsidP="0033631F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cstheme="minorHAnsi"/>
          <w:b/>
          <w:lang w:val="cs-CZ"/>
        </w:rPr>
      </w:pPr>
    </w:p>
    <w:p w:rsidR="0013481C" w:rsidRDefault="0033631F" w:rsidP="0033631F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cstheme="minorHAnsi"/>
          <w:b/>
          <w:lang w:val="cs-CZ"/>
        </w:rPr>
      </w:pPr>
      <w:r>
        <w:rPr>
          <w:rFonts w:cstheme="minorHAnsi"/>
          <w:b/>
          <w:lang w:val="cs-CZ"/>
        </w:rPr>
        <w:t>3. Materiály dle výběru</w:t>
      </w:r>
    </w:p>
    <w:p w:rsidR="0013481C" w:rsidRDefault="0013481C">
      <w:pPr>
        <w:spacing w:after="160" w:line="259" w:lineRule="auto"/>
        <w:rPr>
          <w:rFonts w:cstheme="minorHAnsi"/>
          <w:b/>
          <w:lang w:val="cs-CZ"/>
        </w:rPr>
      </w:pPr>
      <w:r>
        <w:rPr>
          <w:rFonts w:cstheme="minorHAnsi"/>
          <w:b/>
          <w:lang w:val="cs-CZ"/>
        </w:rPr>
        <w:br w:type="page"/>
      </w:r>
    </w:p>
    <w:p w:rsidR="001761B9" w:rsidRDefault="001761B9" w:rsidP="001761B9">
      <w:pPr>
        <w:widowControl w:val="0"/>
        <w:autoSpaceDE w:val="0"/>
        <w:autoSpaceDN w:val="0"/>
        <w:adjustRightInd w:val="0"/>
        <w:spacing w:line="240" w:lineRule="atLeast"/>
        <w:contextualSpacing/>
        <w:jc w:val="center"/>
        <w:rPr>
          <w:rFonts w:cstheme="minorHAnsi"/>
          <w:b/>
          <w:sz w:val="26"/>
          <w:szCs w:val="26"/>
          <w:lang w:val="cs-CZ"/>
        </w:rPr>
      </w:pPr>
      <w:r w:rsidRPr="0042449E">
        <w:rPr>
          <w:rFonts w:cstheme="minorHAnsi"/>
          <w:b/>
          <w:sz w:val="26"/>
          <w:szCs w:val="26"/>
          <w:lang w:val="cs-CZ"/>
        </w:rPr>
        <w:lastRenderedPageBreak/>
        <w:t>ŠKÁLOVÁNÍ HODNOCENÉ</w:t>
      </w:r>
      <w:r w:rsidR="001F42D8" w:rsidRPr="0042449E">
        <w:rPr>
          <w:rFonts w:cstheme="minorHAnsi"/>
          <w:b/>
          <w:sz w:val="26"/>
          <w:szCs w:val="26"/>
          <w:lang w:val="cs-CZ"/>
        </w:rPr>
        <w:t>HO</w:t>
      </w:r>
      <w:r w:rsidRPr="0042449E">
        <w:rPr>
          <w:rFonts w:cstheme="minorHAnsi"/>
          <w:b/>
          <w:sz w:val="26"/>
          <w:szCs w:val="26"/>
          <w:lang w:val="cs-CZ"/>
        </w:rPr>
        <w:t xml:space="preserve"> MODULU 5</w:t>
      </w:r>
    </w:p>
    <w:p w:rsidR="001761B9" w:rsidRDefault="001761B9" w:rsidP="0013481C">
      <w:pPr>
        <w:pStyle w:val="W3MUZkonParagrafNzev"/>
        <w:tabs>
          <w:tab w:val="num" w:pos="0"/>
        </w:tabs>
        <w:spacing w:before="0" w:after="120"/>
        <w:rPr>
          <w:sz w:val="18"/>
          <w:szCs w:val="18"/>
        </w:rPr>
      </w:pPr>
      <w:bookmarkStart w:id="0" w:name="_GoBack"/>
      <w:bookmarkEnd w:id="0"/>
    </w:p>
    <w:p w:rsidR="0013481C" w:rsidRPr="0042449E" w:rsidRDefault="0013481C" w:rsidP="0013481C">
      <w:pPr>
        <w:pStyle w:val="W3MUZkonParagrafNzev"/>
        <w:tabs>
          <w:tab w:val="num" w:pos="0"/>
        </w:tabs>
        <w:spacing w:before="0" w:after="120"/>
        <w:rPr>
          <w:sz w:val="20"/>
        </w:rPr>
      </w:pPr>
      <w:r w:rsidRPr="0042449E">
        <w:rPr>
          <w:sz w:val="20"/>
        </w:rPr>
        <w:t xml:space="preserve">STRATEGIE A KONCEPCE </w:t>
      </w:r>
    </w:p>
    <w:p w:rsidR="0013481C" w:rsidRPr="0042449E" w:rsidRDefault="0013481C" w:rsidP="0013481C">
      <w:pPr>
        <w:pStyle w:val="W3MUZkonOdstavecslovan"/>
        <w:numPr>
          <w:ilvl w:val="0"/>
          <w:numId w:val="3"/>
        </w:numPr>
        <w:jc w:val="both"/>
        <w:rPr>
          <w:szCs w:val="20"/>
        </w:rPr>
      </w:pPr>
      <w:r w:rsidRPr="0042449E">
        <w:rPr>
          <w:szCs w:val="20"/>
        </w:rPr>
        <w:t xml:space="preserve">Hodnocení v Modulu 5 (dále „jen M5“) má za cíl posoudit kvalitu z různých hledisek formulovaných strategií vysoké školy pro její budoucí vývoj. Kvalitní formulace výzkumné strategie vysoké školy stanoví základ pro budoucí vývoj a její kvalita je kritickým faktorem pro odborné panely. </w:t>
      </w:r>
    </w:p>
    <w:p w:rsidR="0013481C" w:rsidRPr="0042449E" w:rsidRDefault="0013481C" w:rsidP="0013481C">
      <w:pPr>
        <w:pStyle w:val="W3MUZkonOdstavecslovan"/>
        <w:numPr>
          <w:ilvl w:val="0"/>
          <w:numId w:val="3"/>
        </w:numPr>
        <w:jc w:val="both"/>
        <w:rPr>
          <w:szCs w:val="20"/>
        </w:rPr>
      </w:pPr>
      <w:r w:rsidRPr="0042449E">
        <w:rPr>
          <w:szCs w:val="20"/>
        </w:rPr>
        <w:t xml:space="preserve">Hodnocenou jednotkou v M5 je vysoká škola. Hodnocení </w:t>
      </w:r>
      <w:r w:rsidR="0047685F" w:rsidRPr="0042449E">
        <w:rPr>
          <w:szCs w:val="20"/>
        </w:rPr>
        <w:t>sleduje, zda má</w:t>
      </w:r>
      <w:r w:rsidRPr="0042449E">
        <w:rPr>
          <w:szCs w:val="20"/>
        </w:rPr>
        <w:t xml:space="preserve"> vysoká </w:t>
      </w:r>
      <w:r w:rsidR="0042449E" w:rsidRPr="0042449E">
        <w:rPr>
          <w:szCs w:val="20"/>
        </w:rPr>
        <w:t>škola stanovenou</w:t>
      </w:r>
      <w:r w:rsidRPr="0042449E">
        <w:rPr>
          <w:szCs w:val="20"/>
        </w:rPr>
        <w:t xml:space="preserve"> strategii a koncepci </w:t>
      </w:r>
      <w:r w:rsidR="0047685F" w:rsidRPr="0042449E">
        <w:rPr>
          <w:szCs w:val="20"/>
        </w:rPr>
        <w:t>a jaký je její</w:t>
      </w:r>
      <w:r w:rsidRPr="0042449E">
        <w:rPr>
          <w:szCs w:val="20"/>
        </w:rPr>
        <w:t xml:space="preserve"> přínos k naplňování odvětvových</w:t>
      </w:r>
      <w:r w:rsidR="0047685F" w:rsidRPr="0042449E">
        <w:rPr>
          <w:szCs w:val="20"/>
        </w:rPr>
        <w:t>,</w:t>
      </w:r>
      <w:r w:rsidRPr="0042449E">
        <w:rPr>
          <w:szCs w:val="20"/>
        </w:rPr>
        <w:t xml:space="preserve"> případně národních strategických dokumentů (politik, akčních plánů, priorit apod.). </w:t>
      </w:r>
    </w:p>
    <w:p w:rsidR="0013481C" w:rsidRPr="0042449E" w:rsidRDefault="0013481C" w:rsidP="0013481C">
      <w:pPr>
        <w:pStyle w:val="W3MUZkonOdstavecslovan"/>
        <w:numPr>
          <w:ilvl w:val="0"/>
          <w:numId w:val="3"/>
        </w:numPr>
        <w:jc w:val="both"/>
        <w:rPr>
          <w:szCs w:val="20"/>
        </w:rPr>
      </w:pPr>
      <w:r w:rsidRPr="0042449E">
        <w:rPr>
          <w:szCs w:val="20"/>
        </w:rPr>
        <w:t>Hodnoceno je jak předchozí období, tak předpoklad budoucího vývoje.</w:t>
      </w:r>
    </w:p>
    <w:p w:rsidR="0013481C" w:rsidRDefault="0013481C" w:rsidP="0013481C">
      <w:pPr>
        <w:pStyle w:val="W3MUZkonParagrafNzev"/>
        <w:tabs>
          <w:tab w:val="num" w:pos="0"/>
        </w:tabs>
        <w:spacing w:before="0" w:after="120"/>
        <w:rPr>
          <w:sz w:val="18"/>
          <w:szCs w:val="18"/>
        </w:rPr>
      </w:pPr>
    </w:p>
    <w:p w:rsidR="0013481C" w:rsidRPr="0042449E" w:rsidRDefault="0013481C" w:rsidP="0013481C">
      <w:pPr>
        <w:pStyle w:val="W3MUZkonParagrafNzev"/>
        <w:tabs>
          <w:tab w:val="num" w:pos="0"/>
        </w:tabs>
        <w:spacing w:before="0" w:after="120"/>
        <w:rPr>
          <w:sz w:val="20"/>
        </w:rPr>
      </w:pPr>
      <w:r w:rsidRPr="0042449E">
        <w:rPr>
          <w:sz w:val="20"/>
        </w:rPr>
        <w:t>HODNOCENÍ VYSOKÉ ŠKOLY</w:t>
      </w:r>
    </w:p>
    <w:p w:rsidR="0013481C" w:rsidRPr="0042449E" w:rsidRDefault="0013481C" w:rsidP="0013481C">
      <w:pPr>
        <w:pStyle w:val="W3MUZkonOdstavecslovan"/>
        <w:numPr>
          <w:ilvl w:val="0"/>
          <w:numId w:val="4"/>
        </w:numPr>
        <w:jc w:val="both"/>
        <w:rPr>
          <w:szCs w:val="20"/>
        </w:rPr>
      </w:pPr>
      <w:r w:rsidRPr="0042449E">
        <w:rPr>
          <w:szCs w:val="20"/>
        </w:rPr>
        <w:t>Kvantitativní hodnocení M5 vychází z bodového hodnocení 5 kritérií. Maximálně dosažitelný počet bodů je 25.</w:t>
      </w:r>
    </w:p>
    <w:p w:rsidR="0013481C" w:rsidRPr="0042449E" w:rsidRDefault="0013481C" w:rsidP="0013481C">
      <w:pPr>
        <w:pStyle w:val="W3MUZkonOdstavecslovan"/>
        <w:numPr>
          <w:ilvl w:val="0"/>
          <w:numId w:val="4"/>
        </w:numPr>
        <w:jc w:val="both"/>
        <w:rPr>
          <w:szCs w:val="20"/>
        </w:rPr>
      </w:pPr>
      <w:r w:rsidRPr="0042449E">
        <w:rPr>
          <w:szCs w:val="20"/>
        </w:rPr>
        <w:t xml:space="preserve">Jednotlivé stupně hodnocení představují konkrétní počet bodů na stupnici hodnocení (tab.  1). </w:t>
      </w:r>
    </w:p>
    <w:p w:rsidR="0013481C" w:rsidRPr="0042449E" w:rsidRDefault="0013481C" w:rsidP="0013481C">
      <w:pPr>
        <w:pStyle w:val="W3MUZkonOdstavecslovan"/>
        <w:jc w:val="both"/>
        <w:rPr>
          <w:szCs w:val="20"/>
        </w:rPr>
      </w:pPr>
      <w:r w:rsidRPr="0042449E">
        <w:rPr>
          <w:szCs w:val="20"/>
        </w:rPr>
        <w:t>Tabulka 1</w:t>
      </w:r>
    </w:p>
    <w:tbl>
      <w:tblPr>
        <w:tblStyle w:val="Mkatabulky"/>
        <w:tblW w:w="9072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13481C" w:rsidRPr="00B049D2" w:rsidTr="004E777B">
        <w:trPr>
          <w:cantSplit/>
          <w:trHeight w:val="296"/>
        </w:trPr>
        <w:tc>
          <w:tcPr>
            <w:tcW w:w="90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3481C" w:rsidRDefault="0013481C" w:rsidP="004E777B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>
              <w:rPr>
                <w:rFonts w:ascii="Verdana" w:hAnsi="Verdana"/>
                <w:b/>
                <w:sz w:val="16"/>
                <w:szCs w:val="16"/>
                <w:lang w:val="cs-CZ"/>
              </w:rPr>
              <w:t xml:space="preserve">                          </w:t>
            </w:r>
            <w:r w:rsidR="00786AD7">
              <w:rPr>
                <w:rFonts w:ascii="Verdana" w:hAnsi="Verdana"/>
                <w:b/>
                <w:sz w:val="16"/>
                <w:szCs w:val="16"/>
                <w:lang w:val="cs-CZ"/>
              </w:rPr>
              <w:t xml:space="preserve">                           </w:t>
            </w:r>
            <w:r>
              <w:rPr>
                <w:rFonts w:ascii="Verdana" w:hAnsi="Verdana"/>
                <w:b/>
                <w:sz w:val="16"/>
                <w:szCs w:val="16"/>
                <w:lang w:val="cs-CZ"/>
              </w:rPr>
              <w:t>STUPNICE HODNOCENÍ</w:t>
            </w:r>
          </w:p>
          <w:p w:rsidR="0013481C" w:rsidRPr="005726E4" w:rsidRDefault="0013481C" w:rsidP="004E777B">
            <w:pPr>
              <w:pStyle w:val="W3MUZkonOdstavecslovan"/>
              <w:spacing w:after="0"/>
              <w:jc w:val="both"/>
              <w:rPr>
                <w:sz w:val="16"/>
                <w:szCs w:val="16"/>
                <w:lang w:val="en-US"/>
              </w:rPr>
            </w:pPr>
            <w:r w:rsidRPr="005726E4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bodů</w:t>
            </w:r>
            <w:r w:rsidRPr="005726E4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                                       </w:t>
            </w:r>
            <w:r w:rsidRPr="00625E64">
              <w:rPr>
                <w:sz w:val="16"/>
                <w:szCs w:val="16"/>
                <w:lang w:val="en-US"/>
              </w:rPr>
              <w:t>Excellent</w:t>
            </w:r>
            <w:r w:rsidRPr="005726E4">
              <w:rPr>
                <w:sz w:val="16"/>
                <w:szCs w:val="16"/>
                <w:lang w:val="en-US"/>
              </w:rPr>
              <w:tab/>
            </w:r>
          </w:p>
          <w:p w:rsidR="0013481C" w:rsidRPr="005726E4" w:rsidRDefault="0013481C" w:rsidP="004E777B">
            <w:pPr>
              <w:pStyle w:val="W3MUZkonOdstavecslovan"/>
              <w:spacing w:after="0"/>
              <w:jc w:val="both"/>
              <w:rPr>
                <w:sz w:val="16"/>
                <w:szCs w:val="16"/>
                <w:lang w:val="en-US"/>
              </w:rPr>
            </w:pPr>
            <w:r w:rsidRPr="005726E4">
              <w:rPr>
                <w:sz w:val="16"/>
                <w:szCs w:val="16"/>
                <w:lang w:val="en-US"/>
              </w:rPr>
              <w:t>4</w:t>
            </w:r>
            <w:r>
              <w:rPr>
                <w:sz w:val="16"/>
                <w:szCs w:val="16"/>
                <w:lang w:val="en-US"/>
              </w:rPr>
              <w:t xml:space="preserve"> body</w:t>
            </w:r>
            <w:r w:rsidRPr="005726E4">
              <w:rPr>
                <w:sz w:val="16"/>
                <w:szCs w:val="16"/>
                <w:lang w:val="en-US"/>
              </w:rPr>
              <w:tab/>
            </w:r>
            <w:r>
              <w:rPr>
                <w:sz w:val="16"/>
                <w:szCs w:val="16"/>
                <w:lang w:val="en-US"/>
              </w:rPr>
              <w:t xml:space="preserve">                                       Very good</w:t>
            </w:r>
            <w:r w:rsidRPr="005726E4">
              <w:rPr>
                <w:sz w:val="16"/>
                <w:szCs w:val="16"/>
                <w:lang w:val="en-US"/>
              </w:rPr>
              <w:tab/>
            </w:r>
          </w:p>
          <w:p w:rsidR="0013481C" w:rsidRPr="005726E4" w:rsidRDefault="0013481C" w:rsidP="004E777B">
            <w:pPr>
              <w:pStyle w:val="W3MUZkonOdstavecslovan"/>
              <w:spacing w:after="0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 body                                          Good</w:t>
            </w:r>
            <w:r w:rsidRPr="005726E4">
              <w:rPr>
                <w:sz w:val="16"/>
                <w:szCs w:val="16"/>
                <w:lang w:val="en-US"/>
              </w:rPr>
              <w:tab/>
            </w:r>
            <w:r w:rsidRPr="005726E4">
              <w:rPr>
                <w:sz w:val="16"/>
                <w:szCs w:val="16"/>
                <w:lang w:val="en-US"/>
              </w:rPr>
              <w:tab/>
            </w:r>
          </w:p>
          <w:p w:rsidR="0013481C" w:rsidRPr="005726E4" w:rsidRDefault="0013481C" w:rsidP="004E777B">
            <w:pPr>
              <w:pStyle w:val="W3MUZkonOdstavecslovan"/>
              <w:spacing w:after="0"/>
              <w:jc w:val="both"/>
              <w:rPr>
                <w:sz w:val="16"/>
                <w:szCs w:val="16"/>
                <w:lang w:val="en-US"/>
              </w:rPr>
            </w:pPr>
            <w:r w:rsidRPr="005726E4"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  <w:lang w:val="en-US"/>
              </w:rPr>
              <w:t xml:space="preserve"> body</w:t>
            </w:r>
            <w:r w:rsidRPr="005726E4">
              <w:rPr>
                <w:sz w:val="16"/>
                <w:szCs w:val="16"/>
                <w:lang w:val="en-US"/>
              </w:rPr>
              <w:tab/>
            </w:r>
            <w:r>
              <w:rPr>
                <w:sz w:val="16"/>
                <w:szCs w:val="16"/>
                <w:lang w:val="en-US"/>
              </w:rPr>
              <w:t xml:space="preserve">                                       Average</w:t>
            </w:r>
            <w:r w:rsidRPr="005726E4">
              <w:rPr>
                <w:sz w:val="16"/>
                <w:szCs w:val="16"/>
                <w:lang w:val="en-US"/>
              </w:rPr>
              <w:tab/>
            </w:r>
          </w:p>
          <w:p w:rsidR="0013481C" w:rsidRDefault="0013481C" w:rsidP="004E777B">
            <w:pPr>
              <w:pStyle w:val="W3MUZkonOdstavecslovan"/>
              <w:spacing w:after="0"/>
              <w:jc w:val="both"/>
              <w:rPr>
                <w:sz w:val="16"/>
                <w:szCs w:val="16"/>
                <w:lang w:val="en-US"/>
              </w:rPr>
            </w:pPr>
            <w:r w:rsidRPr="005726E4"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lang w:val="en-US"/>
              </w:rPr>
              <w:t xml:space="preserve"> bod</w:t>
            </w:r>
            <w:r w:rsidRPr="005726E4">
              <w:rPr>
                <w:sz w:val="16"/>
                <w:szCs w:val="16"/>
                <w:lang w:val="en-US"/>
              </w:rPr>
              <w:tab/>
            </w:r>
            <w:r>
              <w:rPr>
                <w:sz w:val="16"/>
                <w:szCs w:val="16"/>
                <w:lang w:val="en-US"/>
              </w:rPr>
              <w:t xml:space="preserve">                                       Below average</w:t>
            </w:r>
          </w:p>
          <w:p w:rsidR="0013481C" w:rsidRPr="00B049D2" w:rsidRDefault="0013481C" w:rsidP="004E777B">
            <w:pPr>
              <w:pStyle w:val="W3MUZkonOdstavecslovan"/>
              <w:spacing w:after="0"/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 bodů                                          Unsatisfactory</w:t>
            </w:r>
          </w:p>
        </w:tc>
      </w:tr>
    </w:tbl>
    <w:p w:rsidR="0013481C" w:rsidRDefault="0013481C" w:rsidP="0013481C">
      <w:pPr>
        <w:jc w:val="both"/>
        <w:rPr>
          <w:b/>
          <w:lang w:val="cs-CZ"/>
        </w:rPr>
      </w:pPr>
    </w:p>
    <w:p w:rsidR="0047685F" w:rsidRDefault="0047685F" w:rsidP="0047685F">
      <w:pPr>
        <w:pStyle w:val="W3MUZkonOdstavecslovan"/>
        <w:shd w:val="clear" w:color="auto" w:fill="F2F2F2" w:themeFill="background1" w:themeFillShade="F2"/>
        <w:jc w:val="both"/>
        <w:rPr>
          <w:sz w:val="18"/>
          <w:szCs w:val="18"/>
        </w:rPr>
      </w:pPr>
      <w:r>
        <w:rPr>
          <w:sz w:val="18"/>
          <w:szCs w:val="18"/>
        </w:rPr>
        <w:t>Příklad 1</w:t>
      </w:r>
    </w:p>
    <w:p w:rsidR="0047685F" w:rsidRPr="003A3F62" w:rsidRDefault="0047685F" w:rsidP="0047685F">
      <w:pPr>
        <w:pStyle w:val="W3MUZkonOdstavecslovan"/>
        <w:shd w:val="clear" w:color="auto" w:fill="F2F2F2" w:themeFill="background1" w:themeFillShade="F2"/>
        <w:jc w:val="both"/>
        <w:rPr>
          <w:sz w:val="18"/>
          <w:szCs w:val="18"/>
        </w:rPr>
      </w:pPr>
      <w:r>
        <w:rPr>
          <w:sz w:val="18"/>
          <w:szCs w:val="18"/>
        </w:rPr>
        <w:t>Tabulka znázorňuje dané stupně hodnocení pro jednotlivá kritéria hodnocení v rámci M5.</w:t>
      </w:r>
    </w:p>
    <w:tbl>
      <w:tblPr>
        <w:tblStyle w:val="Mkatabulky"/>
        <w:tblW w:w="9072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667"/>
        <w:gridCol w:w="4578"/>
        <w:gridCol w:w="637"/>
        <w:gridCol w:w="638"/>
        <w:gridCol w:w="638"/>
        <w:gridCol w:w="638"/>
        <w:gridCol w:w="638"/>
        <w:gridCol w:w="638"/>
      </w:tblGrid>
      <w:tr w:rsidR="0047685F" w:rsidRPr="00B049D2" w:rsidTr="00F179FB">
        <w:trPr>
          <w:cantSplit/>
          <w:trHeight w:val="296"/>
        </w:trPr>
        <w:tc>
          <w:tcPr>
            <w:tcW w:w="524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47685F" w:rsidRPr="00B049D2" w:rsidRDefault="0047685F" w:rsidP="00F179FB">
            <w:pPr>
              <w:shd w:val="clear" w:color="auto" w:fill="F2F2F2" w:themeFill="background1" w:themeFillShade="F2"/>
              <w:jc w:val="center"/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B049D2">
              <w:rPr>
                <w:rFonts w:ascii="Verdana" w:hAnsi="Verdana"/>
                <w:b/>
                <w:sz w:val="16"/>
                <w:szCs w:val="16"/>
                <w:lang w:val="cs-CZ"/>
              </w:rPr>
              <w:t>KRITÉRIA</w:t>
            </w:r>
          </w:p>
          <w:p w:rsidR="0047685F" w:rsidRPr="00B049D2" w:rsidRDefault="0047685F" w:rsidP="00F179FB">
            <w:pPr>
              <w:shd w:val="clear" w:color="auto" w:fill="F2F2F2" w:themeFill="background1" w:themeFillShade="F2"/>
              <w:jc w:val="center"/>
              <w:rPr>
                <w:rFonts w:ascii="Verdana" w:hAnsi="Verdana"/>
                <w:b/>
                <w:sz w:val="16"/>
                <w:szCs w:val="16"/>
                <w:lang w:val="cs-CZ"/>
              </w:rPr>
            </w:pPr>
          </w:p>
        </w:tc>
        <w:tc>
          <w:tcPr>
            <w:tcW w:w="3827" w:type="dxa"/>
            <w:gridSpan w:val="6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7685F" w:rsidRPr="00B049D2" w:rsidRDefault="0047685F" w:rsidP="00F179FB">
            <w:pPr>
              <w:shd w:val="clear" w:color="auto" w:fill="F2F2F2" w:themeFill="background1" w:themeFillShade="F2"/>
              <w:jc w:val="center"/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>
              <w:rPr>
                <w:rFonts w:ascii="Verdana" w:hAnsi="Verdana"/>
                <w:b/>
                <w:sz w:val="16"/>
                <w:szCs w:val="16"/>
                <w:lang w:val="cs-CZ"/>
              </w:rPr>
              <w:t>STUPNICE HODNOCENÍ</w:t>
            </w:r>
          </w:p>
        </w:tc>
      </w:tr>
      <w:tr w:rsidR="0047685F" w:rsidRPr="00B049D2" w:rsidTr="00F179FB">
        <w:trPr>
          <w:cantSplit/>
          <w:trHeight w:val="1386"/>
        </w:trPr>
        <w:tc>
          <w:tcPr>
            <w:tcW w:w="524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</w:p>
        </w:tc>
        <w:tc>
          <w:tcPr>
            <w:tcW w:w="637" w:type="dxa"/>
            <w:tcBorders>
              <w:top w:val="single" w:sz="18" w:space="0" w:color="auto"/>
            </w:tcBorders>
            <w:shd w:val="clear" w:color="auto" w:fill="F2F2F2" w:themeFill="background1" w:themeFillShade="F2"/>
            <w:textDirection w:val="btLr"/>
          </w:tcPr>
          <w:p w:rsidR="0047685F" w:rsidRPr="0013481C" w:rsidRDefault="0047685F" w:rsidP="00F179FB">
            <w:pPr>
              <w:jc w:val="center"/>
              <w:rPr>
                <w:rFonts w:ascii="Verdana" w:hAnsi="Verdana"/>
                <w:sz w:val="16"/>
                <w:szCs w:val="16"/>
                <w:lang w:val="en-AU"/>
              </w:rPr>
            </w:pPr>
            <w:r w:rsidRPr="0013481C">
              <w:rPr>
                <w:rFonts w:ascii="Verdana" w:hAnsi="Verdana"/>
                <w:sz w:val="16"/>
                <w:szCs w:val="16"/>
                <w:lang w:val="en-AU"/>
              </w:rPr>
              <w:t>Excellent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shd w:val="clear" w:color="auto" w:fill="F2F2F2" w:themeFill="background1" w:themeFillShade="F2"/>
            <w:textDirection w:val="btLr"/>
          </w:tcPr>
          <w:p w:rsidR="0047685F" w:rsidRPr="0013481C" w:rsidRDefault="0047685F" w:rsidP="00F179FB">
            <w:pPr>
              <w:jc w:val="center"/>
              <w:rPr>
                <w:rFonts w:ascii="Verdana" w:hAnsi="Verdana"/>
                <w:sz w:val="16"/>
                <w:szCs w:val="16"/>
                <w:lang w:val="en-AU"/>
              </w:rPr>
            </w:pPr>
            <w:r w:rsidRPr="0013481C">
              <w:rPr>
                <w:rFonts w:ascii="Verdana" w:hAnsi="Verdana"/>
                <w:sz w:val="16"/>
                <w:szCs w:val="16"/>
                <w:lang w:val="en-AU"/>
              </w:rPr>
              <w:t>Very Good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shd w:val="clear" w:color="auto" w:fill="F2F2F2" w:themeFill="background1" w:themeFillShade="F2"/>
            <w:textDirection w:val="btLr"/>
          </w:tcPr>
          <w:p w:rsidR="0047685F" w:rsidRPr="0013481C" w:rsidRDefault="0047685F" w:rsidP="00F179FB">
            <w:pPr>
              <w:jc w:val="center"/>
              <w:rPr>
                <w:rFonts w:ascii="Verdana" w:hAnsi="Verdana"/>
                <w:sz w:val="16"/>
                <w:szCs w:val="16"/>
                <w:lang w:val="en-AU"/>
              </w:rPr>
            </w:pPr>
            <w:r w:rsidRPr="0013481C">
              <w:rPr>
                <w:rFonts w:ascii="Verdana" w:hAnsi="Verdana"/>
                <w:sz w:val="16"/>
                <w:szCs w:val="16"/>
                <w:lang w:val="en-AU"/>
              </w:rPr>
              <w:t>Good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shd w:val="clear" w:color="auto" w:fill="F2F2F2" w:themeFill="background1" w:themeFillShade="F2"/>
            <w:textDirection w:val="btLr"/>
          </w:tcPr>
          <w:p w:rsidR="0047685F" w:rsidRPr="0013481C" w:rsidRDefault="0047685F" w:rsidP="00F179FB">
            <w:pPr>
              <w:jc w:val="center"/>
              <w:rPr>
                <w:rFonts w:ascii="Verdana" w:hAnsi="Verdana"/>
                <w:sz w:val="16"/>
                <w:szCs w:val="16"/>
                <w:lang w:val="en-AU"/>
              </w:rPr>
            </w:pPr>
            <w:r w:rsidRPr="0013481C">
              <w:rPr>
                <w:rFonts w:ascii="Verdana" w:hAnsi="Verdana"/>
                <w:sz w:val="16"/>
                <w:szCs w:val="16"/>
                <w:lang w:val="en-AU"/>
              </w:rPr>
              <w:t>Average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shd w:val="clear" w:color="auto" w:fill="F2F2F2" w:themeFill="background1" w:themeFillShade="F2"/>
            <w:textDirection w:val="btLr"/>
          </w:tcPr>
          <w:p w:rsidR="0047685F" w:rsidRPr="0013481C" w:rsidRDefault="0047685F" w:rsidP="00F179FB">
            <w:pPr>
              <w:jc w:val="center"/>
              <w:rPr>
                <w:rFonts w:ascii="Verdana" w:hAnsi="Verdana"/>
                <w:sz w:val="16"/>
                <w:szCs w:val="16"/>
                <w:lang w:val="en-AU"/>
              </w:rPr>
            </w:pPr>
            <w:r w:rsidRPr="0013481C">
              <w:rPr>
                <w:rFonts w:ascii="Verdana" w:hAnsi="Verdana"/>
                <w:sz w:val="16"/>
                <w:szCs w:val="16"/>
                <w:lang w:val="en-AU"/>
              </w:rPr>
              <w:t>Below average</w:t>
            </w:r>
          </w:p>
        </w:tc>
        <w:tc>
          <w:tcPr>
            <w:tcW w:w="638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textDirection w:val="btLr"/>
          </w:tcPr>
          <w:p w:rsidR="0047685F" w:rsidRPr="0013481C" w:rsidRDefault="0047685F" w:rsidP="00F179FB">
            <w:pPr>
              <w:jc w:val="center"/>
              <w:rPr>
                <w:rFonts w:ascii="Verdana" w:hAnsi="Verdana"/>
                <w:sz w:val="16"/>
                <w:szCs w:val="16"/>
                <w:lang w:val="en-AU"/>
              </w:rPr>
            </w:pPr>
            <w:r w:rsidRPr="0013481C">
              <w:rPr>
                <w:rFonts w:ascii="Verdana" w:hAnsi="Verdana"/>
                <w:sz w:val="16"/>
                <w:szCs w:val="16"/>
                <w:lang w:val="en-AU"/>
              </w:rPr>
              <w:t>Unsatisfactory</w:t>
            </w:r>
          </w:p>
        </w:tc>
      </w:tr>
      <w:tr w:rsidR="0047685F" w:rsidRPr="00B049D2" w:rsidTr="00743EF2">
        <w:trPr>
          <w:trHeight w:val="411"/>
        </w:trPr>
        <w:tc>
          <w:tcPr>
            <w:tcW w:w="667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</w:tcPr>
          <w:p w:rsidR="0047685F" w:rsidRPr="00647727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647727">
              <w:rPr>
                <w:rFonts w:ascii="Verdana" w:hAnsi="Verdana" w:cs="Times New Roman"/>
                <w:sz w:val="16"/>
                <w:szCs w:val="16"/>
              </w:rPr>
              <w:t>5.1</w:t>
            </w:r>
          </w:p>
        </w:tc>
        <w:tc>
          <w:tcPr>
            <w:tcW w:w="4578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47685F" w:rsidRPr="0013481C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13481C">
              <w:rPr>
                <w:rFonts w:ascii="Verdana" w:hAnsi="Verdana"/>
                <w:sz w:val="16"/>
                <w:szCs w:val="16"/>
                <w:lang w:val="cs-CZ"/>
              </w:rPr>
              <w:t xml:space="preserve">Mise a vize hodnocené instituce ve výzkumu </w:t>
            </w:r>
          </w:p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</w:p>
        </w:tc>
        <w:tc>
          <w:tcPr>
            <w:tcW w:w="637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5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4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3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2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1</w:t>
            </w:r>
          </w:p>
        </w:tc>
        <w:tc>
          <w:tcPr>
            <w:tcW w:w="638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0</w:t>
            </w:r>
          </w:p>
        </w:tc>
      </w:tr>
      <w:tr w:rsidR="0047685F" w:rsidRPr="00743EF2" w:rsidTr="00743EF2">
        <w:trPr>
          <w:trHeight w:val="411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:rsidR="0047685F" w:rsidRPr="00647727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647727">
              <w:rPr>
                <w:rFonts w:ascii="Verdana" w:hAnsi="Verdana"/>
                <w:sz w:val="16"/>
                <w:szCs w:val="16"/>
                <w:lang w:val="cs-CZ"/>
              </w:rPr>
              <w:t>5.2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:rsidR="0047685F" w:rsidRPr="00B007F6" w:rsidRDefault="0047685F" w:rsidP="00574BA9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13481C">
              <w:rPr>
                <w:rFonts w:ascii="Verdana" w:hAnsi="Verdana"/>
                <w:sz w:val="16"/>
                <w:szCs w:val="16"/>
                <w:lang w:val="cs-CZ"/>
              </w:rPr>
              <w:t>Výzkumné cíle a strategie pro období do dalšího hodnocení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0</w:t>
            </w:r>
          </w:p>
        </w:tc>
      </w:tr>
      <w:tr w:rsidR="0047685F" w:rsidRPr="00B049D2" w:rsidTr="00743EF2">
        <w:trPr>
          <w:trHeight w:val="411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:rsidR="0047685F" w:rsidRPr="00647727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647727">
              <w:rPr>
                <w:rFonts w:ascii="Verdana" w:hAnsi="Verdana" w:cs="Times New Roman"/>
                <w:sz w:val="16"/>
                <w:szCs w:val="16"/>
              </w:rPr>
              <w:t>5.3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:rsidR="0047685F" w:rsidRPr="00B007F6" w:rsidRDefault="0047685F" w:rsidP="00574BA9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13481C">
              <w:rPr>
                <w:rFonts w:ascii="Verdana" w:hAnsi="Verdana"/>
                <w:sz w:val="16"/>
                <w:szCs w:val="16"/>
                <w:lang w:val="cs-CZ"/>
              </w:rPr>
              <w:t>Vazba na plnění vyšších národních a nadnárodních strategických cílů a opatření v oblasti výzkumu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0</w:t>
            </w:r>
          </w:p>
        </w:tc>
      </w:tr>
      <w:tr w:rsidR="0047685F" w:rsidRPr="00B049D2" w:rsidTr="00F179FB">
        <w:trPr>
          <w:trHeight w:val="384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:rsidR="0047685F" w:rsidRPr="00647727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647727">
              <w:rPr>
                <w:rFonts w:ascii="Verdana" w:hAnsi="Verdana" w:cs="Times New Roman"/>
                <w:sz w:val="16"/>
                <w:szCs w:val="16"/>
              </w:rPr>
              <w:t>5.4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13481C">
              <w:rPr>
                <w:rFonts w:ascii="Verdana" w:hAnsi="Verdana"/>
                <w:sz w:val="16"/>
                <w:szCs w:val="16"/>
                <w:lang w:val="cs-CZ"/>
              </w:rPr>
              <w:t>Strategie a nástroje strategického řízení pro zahrnutí do mezinárodních žebříčků univerzit (včetně oborových žebříčků), popř</w:t>
            </w:r>
            <w:r>
              <w:rPr>
                <w:rFonts w:ascii="Verdana" w:hAnsi="Verdana"/>
                <w:sz w:val="16"/>
                <w:szCs w:val="16"/>
                <w:lang w:val="cs-CZ"/>
              </w:rPr>
              <w:t>. pro dosažení lepšího umístění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0</w:t>
            </w:r>
          </w:p>
        </w:tc>
      </w:tr>
      <w:tr w:rsidR="0047685F" w:rsidRPr="00111E64" w:rsidTr="00F179FB">
        <w:trPr>
          <w:trHeight w:val="348"/>
        </w:trPr>
        <w:tc>
          <w:tcPr>
            <w:tcW w:w="66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47685F" w:rsidRPr="00647727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647727">
              <w:rPr>
                <w:rFonts w:ascii="Verdana" w:hAnsi="Verdana" w:cs="Times New Roman"/>
                <w:sz w:val="16"/>
                <w:szCs w:val="16"/>
              </w:rPr>
              <w:t>5.5</w:t>
            </w:r>
          </w:p>
        </w:tc>
        <w:tc>
          <w:tcPr>
            <w:tcW w:w="4578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13481C">
              <w:rPr>
                <w:rFonts w:ascii="Verdana" w:hAnsi="Verdana"/>
                <w:sz w:val="16"/>
                <w:szCs w:val="16"/>
                <w:lang w:val="cs-CZ"/>
              </w:rPr>
              <w:t>Institucionální nástroje pro naplňování výzkumné strategie s důrazem na podporu kvalitního výzkumu a inovativního prostředí</w:t>
            </w:r>
          </w:p>
        </w:tc>
        <w:tc>
          <w:tcPr>
            <w:tcW w:w="637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5</w:t>
            </w:r>
          </w:p>
        </w:tc>
        <w:tc>
          <w:tcPr>
            <w:tcW w:w="638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4</w:t>
            </w:r>
          </w:p>
        </w:tc>
        <w:tc>
          <w:tcPr>
            <w:tcW w:w="638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3</w:t>
            </w:r>
          </w:p>
        </w:tc>
        <w:tc>
          <w:tcPr>
            <w:tcW w:w="638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2</w:t>
            </w:r>
          </w:p>
        </w:tc>
        <w:tc>
          <w:tcPr>
            <w:tcW w:w="638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1</w:t>
            </w:r>
          </w:p>
        </w:tc>
        <w:tc>
          <w:tcPr>
            <w:tcW w:w="63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7685F" w:rsidRPr="00B007F6" w:rsidRDefault="0047685F" w:rsidP="00F179FB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07F6">
              <w:rPr>
                <w:rFonts w:ascii="Verdana" w:hAnsi="Verdana"/>
                <w:sz w:val="16"/>
                <w:szCs w:val="16"/>
                <w:lang w:val="cs-CZ"/>
              </w:rPr>
              <w:t>0</w:t>
            </w:r>
          </w:p>
        </w:tc>
      </w:tr>
    </w:tbl>
    <w:p w:rsidR="0047685F" w:rsidRDefault="0047685F" w:rsidP="0047685F">
      <w:pPr>
        <w:pStyle w:val="W3MUZkonOdstavecslovan"/>
        <w:jc w:val="both"/>
        <w:rPr>
          <w:sz w:val="18"/>
          <w:szCs w:val="18"/>
        </w:rPr>
      </w:pPr>
    </w:p>
    <w:p w:rsidR="0013481C" w:rsidRPr="0042449E" w:rsidRDefault="0013481C" w:rsidP="0013481C">
      <w:pPr>
        <w:pStyle w:val="W3MUZkonOdstavecslovan"/>
        <w:numPr>
          <w:ilvl w:val="0"/>
          <w:numId w:val="4"/>
        </w:numPr>
        <w:jc w:val="both"/>
        <w:rPr>
          <w:szCs w:val="20"/>
        </w:rPr>
      </w:pPr>
      <w:r w:rsidRPr="0042449E">
        <w:rPr>
          <w:szCs w:val="20"/>
        </w:rPr>
        <w:t>Bodové hodnocení každého kritéria se následně doplní o slovní hodnocení vč. nepovinného doporučení.</w:t>
      </w:r>
    </w:p>
    <w:p w:rsidR="0013481C" w:rsidRPr="0042449E" w:rsidRDefault="0013481C" w:rsidP="0013481C">
      <w:pPr>
        <w:pStyle w:val="W3MUZkonOdstavecslovan"/>
        <w:numPr>
          <w:ilvl w:val="0"/>
          <w:numId w:val="4"/>
        </w:numPr>
        <w:jc w:val="both"/>
        <w:rPr>
          <w:szCs w:val="20"/>
        </w:rPr>
      </w:pPr>
      <w:r w:rsidRPr="0042449E">
        <w:rPr>
          <w:szCs w:val="20"/>
        </w:rPr>
        <w:lastRenderedPageBreak/>
        <w:t>Celkové kvantitativní hodnocení v M5 se vypočte pomocí stupnice hodnocení (tab.</w:t>
      </w:r>
      <w:r w:rsidR="0042449E">
        <w:rPr>
          <w:szCs w:val="20"/>
        </w:rPr>
        <w:t> </w:t>
      </w:r>
      <w:r w:rsidRPr="0042449E">
        <w:rPr>
          <w:szCs w:val="20"/>
        </w:rPr>
        <w:t>2).</w:t>
      </w:r>
    </w:p>
    <w:p w:rsidR="0013481C" w:rsidRPr="0042449E" w:rsidRDefault="0013481C" w:rsidP="0013481C">
      <w:pPr>
        <w:pStyle w:val="W3MUZkonOdstavecslovan"/>
        <w:jc w:val="both"/>
        <w:rPr>
          <w:szCs w:val="20"/>
        </w:rPr>
      </w:pPr>
      <w:r w:rsidRPr="0042449E">
        <w:rPr>
          <w:szCs w:val="20"/>
        </w:rPr>
        <w:t>Tabulka 2</w:t>
      </w:r>
    </w:p>
    <w:tbl>
      <w:tblPr>
        <w:tblStyle w:val="Mkatabulky"/>
        <w:tblW w:w="9072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13481C" w:rsidRPr="009F07FC" w:rsidTr="004E777B">
        <w:trPr>
          <w:cantSplit/>
          <w:trHeight w:val="296"/>
        </w:trPr>
        <w:tc>
          <w:tcPr>
            <w:tcW w:w="9072" w:type="dxa"/>
          </w:tcPr>
          <w:p w:rsidR="0013481C" w:rsidRDefault="0013481C" w:rsidP="004E77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Verdana" w:hAnsi="Verdana"/>
                <w:sz w:val="16"/>
                <w:szCs w:val="16"/>
                <w:lang w:val="cs-CZ"/>
              </w:rPr>
            </w:pPr>
            <w:r>
              <w:rPr>
                <w:rFonts w:ascii="Verdana" w:hAnsi="Verdana"/>
                <w:b/>
                <w:sz w:val="16"/>
                <w:szCs w:val="16"/>
                <w:lang w:val="cs-CZ"/>
              </w:rPr>
              <w:t>STUPNICE CELKOVÉHO HODNOCENÍ</w:t>
            </w:r>
          </w:p>
          <w:p w:rsidR="00FD2258" w:rsidRPr="00B34DA1" w:rsidRDefault="00FD2258" w:rsidP="00FD225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16"/>
                <w:szCs w:val="16"/>
                <w:lang w:val="cs-CZ"/>
              </w:rPr>
            </w:pPr>
            <w:r>
              <w:rPr>
                <w:rFonts w:ascii="Verdana" w:hAnsi="Verdana"/>
                <w:sz w:val="16"/>
                <w:szCs w:val="16"/>
                <w:lang w:val="cs-CZ"/>
              </w:rPr>
              <w:t>&gt; 22</w:t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 xml:space="preserve"> bodů</w:t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ab/>
              <w:t>Excellent</w:t>
            </w:r>
          </w:p>
          <w:p w:rsidR="00FD2258" w:rsidRPr="00B34DA1" w:rsidRDefault="00BF4F74" w:rsidP="00FD225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16"/>
                <w:szCs w:val="16"/>
                <w:lang w:val="cs-CZ"/>
              </w:rPr>
            </w:pPr>
            <w:r>
              <w:rPr>
                <w:rFonts w:ascii="Verdana" w:hAnsi="Verdana"/>
                <w:sz w:val="16"/>
                <w:szCs w:val="16"/>
                <w:lang w:val="cs-CZ"/>
              </w:rPr>
              <w:t>19</w:t>
            </w:r>
            <w:r w:rsidR="00FD2258">
              <w:rPr>
                <w:rFonts w:ascii="Verdana" w:hAnsi="Verdana"/>
                <w:sz w:val="16"/>
                <w:szCs w:val="16"/>
                <w:lang w:val="cs-CZ"/>
              </w:rPr>
              <w:t>–21</w:t>
            </w:r>
            <w:r w:rsidR="00FD2258" w:rsidRPr="00B34DA1">
              <w:rPr>
                <w:rFonts w:ascii="Verdana" w:hAnsi="Verdana"/>
                <w:sz w:val="16"/>
                <w:szCs w:val="16"/>
                <w:lang w:val="cs-CZ"/>
              </w:rPr>
              <w:t xml:space="preserve"> bodů</w:t>
            </w:r>
            <w:r w:rsidR="00FD2258" w:rsidRPr="00B34DA1">
              <w:rPr>
                <w:rFonts w:ascii="Verdana" w:hAnsi="Verdana"/>
                <w:sz w:val="16"/>
                <w:szCs w:val="16"/>
                <w:lang w:val="cs-CZ"/>
              </w:rPr>
              <w:tab/>
            </w:r>
            <w:r w:rsidR="00FD2258" w:rsidRPr="00B34DA1">
              <w:rPr>
                <w:rFonts w:ascii="Verdana" w:hAnsi="Verdana"/>
                <w:sz w:val="16"/>
                <w:szCs w:val="16"/>
                <w:lang w:val="cs-CZ"/>
              </w:rPr>
              <w:tab/>
            </w:r>
            <w:r w:rsidR="00FD2258" w:rsidRPr="00B34DA1">
              <w:rPr>
                <w:rFonts w:ascii="Verdana" w:hAnsi="Verdana"/>
                <w:sz w:val="16"/>
                <w:szCs w:val="16"/>
                <w:lang w:val="cs-CZ"/>
              </w:rPr>
              <w:tab/>
              <w:t>Very Good</w:t>
            </w:r>
          </w:p>
          <w:p w:rsidR="00FD2258" w:rsidRPr="00B34DA1" w:rsidRDefault="00FD2258" w:rsidP="00FD225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16"/>
                <w:szCs w:val="16"/>
                <w:lang w:val="cs-CZ"/>
              </w:rPr>
            </w:pPr>
            <w:r>
              <w:rPr>
                <w:rFonts w:ascii="Verdana" w:hAnsi="Verdana"/>
                <w:sz w:val="16"/>
                <w:szCs w:val="16"/>
                <w:lang w:val="cs-CZ"/>
              </w:rPr>
              <w:t>16–1</w:t>
            </w:r>
            <w:r w:rsidR="00BF4F74">
              <w:rPr>
                <w:rFonts w:ascii="Verdana" w:hAnsi="Verdana"/>
                <w:sz w:val="16"/>
                <w:szCs w:val="16"/>
                <w:lang w:val="cs-CZ"/>
              </w:rPr>
              <w:t>8</w:t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 xml:space="preserve"> bodů </w:t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ab/>
              <w:t>Good</w:t>
            </w:r>
          </w:p>
          <w:p w:rsidR="00FD2258" w:rsidRPr="00B34DA1" w:rsidRDefault="00FD2258" w:rsidP="00FD225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16"/>
                <w:szCs w:val="16"/>
                <w:lang w:val="cs-CZ"/>
              </w:rPr>
            </w:pPr>
            <w:r>
              <w:rPr>
                <w:rFonts w:ascii="Verdana" w:hAnsi="Verdana"/>
                <w:sz w:val="16"/>
                <w:szCs w:val="16"/>
                <w:lang w:val="cs-CZ"/>
              </w:rPr>
              <w:t>12–15</w:t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 xml:space="preserve"> bodů</w:t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ab/>
              <w:t>Average</w:t>
            </w:r>
          </w:p>
          <w:p w:rsidR="00FD2258" w:rsidRPr="00B34DA1" w:rsidRDefault="00FD2258" w:rsidP="00FD225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16"/>
                <w:szCs w:val="16"/>
                <w:lang w:val="cs-CZ"/>
              </w:rPr>
            </w:pPr>
            <w:r>
              <w:rPr>
                <w:rFonts w:ascii="Verdana" w:hAnsi="Verdana"/>
                <w:sz w:val="16"/>
                <w:szCs w:val="16"/>
                <w:lang w:val="cs-CZ"/>
              </w:rPr>
              <w:t>9–11</w:t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 xml:space="preserve"> bodů</w:t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ab/>
              <w:t>Below average</w:t>
            </w:r>
          </w:p>
          <w:p w:rsidR="0013481C" w:rsidRPr="003A38E9" w:rsidRDefault="00FD2258" w:rsidP="00FD225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16"/>
                <w:szCs w:val="16"/>
                <w:lang w:val="cs-CZ"/>
              </w:rPr>
            </w:pPr>
            <w:r>
              <w:rPr>
                <w:rFonts w:ascii="Verdana" w:hAnsi="Verdana"/>
                <w:sz w:val="16"/>
                <w:szCs w:val="16"/>
                <w:lang w:val="cs-CZ"/>
              </w:rPr>
              <w:t>0–8</w:t>
            </w:r>
            <w:r w:rsidRPr="00B34DA1">
              <w:rPr>
                <w:rFonts w:ascii="Verdana" w:hAnsi="Verdana"/>
                <w:sz w:val="16"/>
                <w:szCs w:val="16"/>
                <w:lang w:val="cs-CZ"/>
              </w:rPr>
              <w:t xml:space="preserve"> bodů</w:t>
            </w:r>
            <w:r w:rsidRPr="009F07FC">
              <w:rPr>
                <w:rFonts w:ascii="Verdana" w:hAnsi="Verdana"/>
                <w:sz w:val="16"/>
                <w:szCs w:val="16"/>
                <w:lang w:val="cs-CZ"/>
              </w:rPr>
              <w:tab/>
            </w:r>
            <w:r w:rsidRPr="009F07FC">
              <w:rPr>
                <w:rFonts w:ascii="Verdana" w:hAnsi="Verdana"/>
                <w:sz w:val="16"/>
                <w:szCs w:val="16"/>
                <w:lang w:val="cs-CZ"/>
              </w:rPr>
              <w:tab/>
            </w:r>
            <w:r w:rsidRPr="009F07FC">
              <w:rPr>
                <w:rFonts w:ascii="Verdana" w:hAnsi="Verdana"/>
                <w:sz w:val="16"/>
                <w:szCs w:val="16"/>
                <w:lang w:val="cs-CZ"/>
              </w:rPr>
              <w:tab/>
              <w:t>Unsatisfactory</w:t>
            </w:r>
          </w:p>
        </w:tc>
      </w:tr>
    </w:tbl>
    <w:p w:rsidR="0013481C" w:rsidRDefault="0013481C" w:rsidP="0013481C">
      <w:pPr>
        <w:pStyle w:val="W3MUZkonOdstavecslovan"/>
        <w:jc w:val="both"/>
      </w:pPr>
    </w:p>
    <w:p w:rsidR="0013481C" w:rsidRPr="003A3F62" w:rsidRDefault="0013481C" w:rsidP="0013481C">
      <w:pPr>
        <w:pStyle w:val="W3MUZkonOdstavecslovan"/>
        <w:jc w:val="both"/>
        <w:rPr>
          <w:sz w:val="40"/>
          <w:szCs w:val="40"/>
        </w:rPr>
      </w:pPr>
    </w:p>
    <w:p w:rsidR="0033631F" w:rsidRPr="004E3D1D" w:rsidRDefault="0033631F" w:rsidP="0033631F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rFonts w:cstheme="minorHAnsi"/>
          <w:b/>
          <w:lang w:val="cs-CZ"/>
        </w:rPr>
      </w:pPr>
    </w:p>
    <w:p w:rsidR="0090625C" w:rsidRPr="00AB797D" w:rsidRDefault="0090625C" w:rsidP="0090625C">
      <w:pPr>
        <w:spacing w:line="240" w:lineRule="atLeast"/>
        <w:contextualSpacing/>
        <w:jc w:val="both"/>
        <w:rPr>
          <w:rFonts w:ascii="Times New Roman" w:hAnsi="Times New Roman" w:cs="Times New Roman"/>
          <w:b/>
          <w:u w:val="single"/>
        </w:rPr>
      </w:pPr>
    </w:p>
    <w:p w:rsidR="0013481C" w:rsidRPr="0013481C" w:rsidRDefault="0013481C" w:rsidP="0013481C">
      <w:pPr>
        <w:rPr>
          <w:rFonts w:ascii="Verdana" w:hAnsi="Verdana"/>
          <w:sz w:val="16"/>
          <w:szCs w:val="16"/>
          <w:lang w:val="cs-CZ"/>
        </w:rPr>
      </w:pPr>
    </w:p>
    <w:p w:rsidR="0013481C" w:rsidRPr="0013481C" w:rsidRDefault="0013481C" w:rsidP="0013481C">
      <w:pPr>
        <w:rPr>
          <w:rFonts w:ascii="Verdana" w:hAnsi="Verdana"/>
          <w:sz w:val="16"/>
          <w:szCs w:val="16"/>
          <w:lang w:val="cs-CZ"/>
        </w:rPr>
      </w:pPr>
    </w:p>
    <w:p w:rsidR="0013481C" w:rsidRPr="0013481C" w:rsidRDefault="0013481C" w:rsidP="0013481C">
      <w:pPr>
        <w:rPr>
          <w:rFonts w:ascii="Verdana" w:hAnsi="Verdana"/>
          <w:sz w:val="16"/>
          <w:szCs w:val="16"/>
          <w:lang w:val="cs-CZ"/>
        </w:rPr>
      </w:pPr>
    </w:p>
    <w:p w:rsidR="0013481C" w:rsidRPr="0013481C" w:rsidRDefault="0013481C" w:rsidP="0013481C">
      <w:pPr>
        <w:rPr>
          <w:rFonts w:ascii="Verdana" w:hAnsi="Verdana"/>
          <w:sz w:val="16"/>
          <w:szCs w:val="16"/>
          <w:lang w:val="cs-CZ"/>
        </w:rPr>
      </w:pPr>
    </w:p>
    <w:p w:rsidR="0090625C" w:rsidRPr="0013481C" w:rsidRDefault="0090625C" w:rsidP="0013481C">
      <w:pPr>
        <w:rPr>
          <w:rFonts w:ascii="Verdana" w:hAnsi="Verdana"/>
          <w:sz w:val="16"/>
          <w:szCs w:val="16"/>
          <w:lang w:val="cs-CZ"/>
        </w:rPr>
      </w:pPr>
    </w:p>
    <w:sectPr w:rsidR="0090625C" w:rsidRPr="001348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D05" w:rsidRDefault="00A06D05" w:rsidP="0013481C">
      <w:r>
        <w:separator/>
      </w:r>
    </w:p>
  </w:endnote>
  <w:endnote w:type="continuationSeparator" w:id="0">
    <w:p w:rsidR="00A06D05" w:rsidRDefault="00A06D05" w:rsidP="00134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D05" w:rsidRDefault="00A06D05" w:rsidP="0013481C">
      <w:r>
        <w:separator/>
      </w:r>
    </w:p>
  </w:footnote>
  <w:footnote w:type="continuationSeparator" w:id="0">
    <w:p w:rsidR="00A06D05" w:rsidRDefault="00A06D05" w:rsidP="00134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069DF"/>
    <w:multiLevelType w:val="hybridMultilevel"/>
    <w:tmpl w:val="903AA090"/>
    <w:lvl w:ilvl="0" w:tplc="E5BAC3E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11EF5"/>
    <w:multiLevelType w:val="hybridMultilevel"/>
    <w:tmpl w:val="99840B66"/>
    <w:lvl w:ilvl="0" w:tplc="64AC9B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37BBD"/>
    <w:multiLevelType w:val="hybridMultilevel"/>
    <w:tmpl w:val="65AE4AE2"/>
    <w:lvl w:ilvl="0" w:tplc="149269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C2E7B"/>
    <w:multiLevelType w:val="hybridMultilevel"/>
    <w:tmpl w:val="EC24E844"/>
    <w:lvl w:ilvl="0" w:tplc="E912F55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808"/>
    <w:rsid w:val="00022EB2"/>
    <w:rsid w:val="000D64C9"/>
    <w:rsid w:val="00114BB8"/>
    <w:rsid w:val="0013481C"/>
    <w:rsid w:val="001761B9"/>
    <w:rsid w:val="001A062D"/>
    <w:rsid w:val="001F42D8"/>
    <w:rsid w:val="0027421F"/>
    <w:rsid w:val="0033631F"/>
    <w:rsid w:val="0042449E"/>
    <w:rsid w:val="00475807"/>
    <w:rsid w:val="0047685F"/>
    <w:rsid w:val="004D1FEA"/>
    <w:rsid w:val="004E3808"/>
    <w:rsid w:val="004E3D1D"/>
    <w:rsid w:val="00540930"/>
    <w:rsid w:val="00540AC3"/>
    <w:rsid w:val="00553639"/>
    <w:rsid w:val="00574BA9"/>
    <w:rsid w:val="00647727"/>
    <w:rsid w:val="006775B3"/>
    <w:rsid w:val="006A4A3A"/>
    <w:rsid w:val="006B3CD3"/>
    <w:rsid w:val="00712F0A"/>
    <w:rsid w:val="00743EF2"/>
    <w:rsid w:val="00764A8B"/>
    <w:rsid w:val="00777B12"/>
    <w:rsid w:val="00786AD7"/>
    <w:rsid w:val="00815175"/>
    <w:rsid w:val="008B1AD4"/>
    <w:rsid w:val="0090625C"/>
    <w:rsid w:val="0091789B"/>
    <w:rsid w:val="009339DF"/>
    <w:rsid w:val="00953877"/>
    <w:rsid w:val="00A06D05"/>
    <w:rsid w:val="00A40A7D"/>
    <w:rsid w:val="00AB797D"/>
    <w:rsid w:val="00AC6AA2"/>
    <w:rsid w:val="00B07411"/>
    <w:rsid w:val="00BA19C5"/>
    <w:rsid w:val="00BB6216"/>
    <w:rsid w:val="00BF4F74"/>
    <w:rsid w:val="00C3151E"/>
    <w:rsid w:val="00CC6D18"/>
    <w:rsid w:val="00CD2912"/>
    <w:rsid w:val="00D46D38"/>
    <w:rsid w:val="00D62769"/>
    <w:rsid w:val="00DD24B5"/>
    <w:rsid w:val="00EA7802"/>
    <w:rsid w:val="00EB079E"/>
    <w:rsid w:val="00F34E28"/>
    <w:rsid w:val="00F40D14"/>
    <w:rsid w:val="00FA0321"/>
    <w:rsid w:val="00FD2258"/>
    <w:rsid w:val="00FD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3CEFF-80C3-4D5C-A949-B7BA299EF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808"/>
    <w:pPr>
      <w:spacing w:after="0" w:line="240" w:lineRule="auto"/>
    </w:pPr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B079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079E"/>
    <w:rPr>
      <w:rFonts w:ascii="Segoe UI" w:hAnsi="Segoe UI" w:cs="Segoe UI"/>
      <w:sz w:val="18"/>
      <w:szCs w:val="18"/>
      <w:lang w:val="en-GB"/>
    </w:rPr>
  </w:style>
  <w:style w:type="table" w:styleId="Mkatabulky">
    <w:name w:val="Table Grid"/>
    <w:basedOn w:val="Normlntabulka"/>
    <w:uiPriority w:val="39"/>
    <w:rsid w:val="0090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0625C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val="cs-CZ" w:eastAsia="cs-CZ"/>
    </w:rPr>
  </w:style>
  <w:style w:type="paragraph" w:styleId="Normlnweb">
    <w:name w:val="Normal (Web)"/>
    <w:basedOn w:val="Normln"/>
    <w:uiPriority w:val="99"/>
    <w:rsid w:val="0090625C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cs-CZ" w:eastAsia="cs-CZ"/>
    </w:rPr>
  </w:style>
  <w:style w:type="paragraph" w:customStyle="1" w:styleId="W3MUZkonParagrafNzev">
    <w:name w:val="W3MU: Zákon Paragraf Název"/>
    <w:basedOn w:val="Normln"/>
    <w:next w:val="Normln"/>
    <w:rsid w:val="0013481C"/>
    <w:pPr>
      <w:keepNext/>
      <w:spacing w:before="60" w:after="60"/>
      <w:jc w:val="center"/>
      <w:outlineLvl w:val="0"/>
    </w:pPr>
    <w:rPr>
      <w:rFonts w:ascii="Arial" w:eastAsia="Calibri" w:hAnsi="Arial" w:cs="Times New Roman"/>
      <w:b/>
      <w:color w:val="808080"/>
      <w:szCs w:val="20"/>
      <w:lang w:val="cs-CZ" w:eastAsia="cs-CZ"/>
    </w:rPr>
  </w:style>
  <w:style w:type="paragraph" w:customStyle="1" w:styleId="W3MUZkonOdstavecslovan">
    <w:name w:val="W3MU: Zákon Odstavec Číslovaný"/>
    <w:basedOn w:val="Normln"/>
    <w:uiPriority w:val="99"/>
    <w:rsid w:val="0013481C"/>
    <w:pPr>
      <w:spacing w:after="120"/>
      <w:outlineLvl w:val="1"/>
    </w:pPr>
    <w:rPr>
      <w:rFonts w:ascii="Verdana" w:eastAsia="Calibri" w:hAnsi="Verdana" w:cs="Times New Roman"/>
      <w:sz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348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3481C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1348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FAF10-C67F-431D-B814-971A533BA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653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Šafařík Petr</dc:creator>
  <cp:keywords/>
  <dc:description/>
  <cp:lastModifiedBy>Andrle Jaroslav</cp:lastModifiedBy>
  <cp:revision>30</cp:revision>
  <cp:lastPrinted>2019-02-06T10:24:00Z</cp:lastPrinted>
  <dcterms:created xsi:type="dcterms:W3CDTF">2019-02-06T10:04:00Z</dcterms:created>
  <dcterms:modified xsi:type="dcterms:W3CDTF">2019-02-08T08:39:00Z</dcterms:modified>
</cp:coreProperties>
</file>